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1"/>
        <w:gridCol w:w="1701"/>
        <w:gridCol w:w="4071"/>
      </w:tblGrid>
      <w:tr w:rsidR="00E8272F" w:rsidRPr="00E8272F" w:rsidTr="006D451E">
        <w:tc>
          <w:tcPr>
            <w:tcW w:w="4071" w:type="dxa"/>
          </w:tcPr>
          <w:p w:rsidR="00E8272F" w:rsidRPr="00E8272F" w:rsidRDefault="00EC2C62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0" allowOverlap="1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0</wp:posOffset>
                      </wp:positionV>
                      <wp:extent cx="655955" cy="71882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718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272F" w:rsidRDefault="00E8272F" w:rsidP="00E8272F">
                                  <w:pPr>
                                    <w:jc w:val="center"/>
                                  </w:pPr>
                                  <w:r w:rsidRPr="0048179F">
                                    <w:rPr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58495" cy="709295"/>
                                        <wp:effectExtent l="0" t="0" r="8255" b="0"/>
                                        <wp:docPr id="1" name="Рисунок 1" descr="Герб ПМР_ч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Герб ПМР_ч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495" cy="709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11.2pt;margin-top:0;width:51.65pt;height: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" o:allowincell="f" filled="f" stroked="f">
                      <v:textbox inset="0,0,0,0">
                        <w:txbxContent>
                          <w:p w:rsidR="00E8272F" w:rsidRDefault="00E8272F" w:rsidP="00E8272F">
                            <w:pPr>
                              <w:jc w:val="center"/>
                            </w:pPr>
                            <w:r w:rsidRPr="0048179F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8495" cy="709295"/>
                                  <wp:effectExtent l="0" t="0" r="8255" b="0"/>
                                  <wp:docPr id="1" name="Рисунок 1" descr="Герб ПМР_ч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Герб ПМР_ч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8272F" w:rsidRPr="00E827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БАНКА РЕПУБЛИКАНЭ</w:t>
            </w:r>
          </w:p>
          <w:p w:rsidR="00E8272F" w:rsidRPr="00E8272F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НИСТРЯНЭ</w:t>
            </w:r>
          </w:p>
          <w:p w:rsidR="00E8272F" w:rsidRPr="00E8272F" w:rsidRDefault="00E8272F" w:rsidP="00E8272F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E8272F" w:rsidRPr="00E8272F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</w:tcPr>
          <w:p w:rsidR="00E8272F" w:rsidRPr="00E8272F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7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ПРИДНIСТРОВСЬКИЙ</w:t>
            </w:r>
          </w:p>
          <w:p w:rsidR="00E8272F" w:rsidRPr="00E8272F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7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РЕСПУБЛIКАНСЬКИЙ БАНК</w:t>
            </w:r>
          </w:p>
          <w:p w:rsidR="00E8272F" w:rsidRPr="00E8272F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272F" w:rsidRPr="00E8272F" w:rsidTr="006D451E">
        <w:trPr>
          <w:cantSplit/>
        </w:trPr>
        <w:tc>
          <w:tcPr>
            <w:tcW w:w="9843" w:type="dxa"/>
            <w:gridSpan w:val="3"/>
          </w:tcPr>
          <w:p w:rsidR="00E8272F" w:rsidRPr="00E8272F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8272F" w:rsidRPr="00E8272F" w:rsidRDefault="00E8272F" w:rsidP="00E82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72F" w:rsidRPr="00E8272F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7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ПРИДНЕСТРОВСКИЙ РЕСПУБЛИКАНСКИЙ</w:t>
            </w:r>
          </w:p>
          <w:p w:rsidR="00E8272F" w:rsidRPr="00E8272F" w:rsidRDefault="00E8272F" w:rsidP="00E8272F">
            <w:pPr>
              <w:keepNext/>
              <w:widowControl w:val="0"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7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БАНК</w:t>
            </w:r>
          </w:p>
          <w:p w:rsidR="00E8272F" w:rsidRPr="00E8272F" w:rsidRDefault="00E8272F" w:rsidP="00E82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272F" w:rsidRPr="00E8272F" w:rsidRDefault="00E8272F" w:rsidP="00E827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E8272F" w:rsidRDefault="00AF4AFA" w:rsidP="00E82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8272F" w:rsidRPr="00E8272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</w:t>
      </w:r>
    </w:p>
    <w:p w:rsidR="00AF4AFA" w:rsidRPr="00E8272F" w:rsidRDefault="00AF4AFA" w:rsidP="00E82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E8272F" w:rsidRDefault="00E8272F" w:rsidP="00E827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272F" w:rsidRPr="00C24F27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дополнени</w:t>
      </w:r>
      <w:r w:rsidR="005B5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Указание Приднестровского республиканского банка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16 июля 2015 года N 860-У</w:t>
      </w:r>
      <w:r w:rsidR="00B53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порядке составления кредитными организациями годовой бухгалтерской (финансовой) отч</w:t>
      </w:r>
      <w:r w:rsidR="00AF4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тности»</w:t>
      </w:r>
      <w:r w:rsidR="00AF4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(Регистрационный N 7215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4F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17 августа 2015 года) (САЗ 15-34)</w:t>
      </w:r>
    </w:p>
    <w:p w:rsidR="00E8272F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 решением правления</w:t>
      </w: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Приднестровского республиканского банка</w:t>
      </w: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22B3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3F22B3">
        <w:rPr>
          <w:rFonts w:ascii="Times New Roman" w:eastAsia="Times New Roman" w:hAnsi="Times New Roman" w:cs="Times New Roman"/>
          <w:sz w:val="24"/>
          <w:szCs w:val="24"/>
          <w:lang w:eastAsia="ru-RU"/>
        </w:rPr>
        <w:t>12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E8272F" w:rsidRPr="00A550AC" w:rsidRDefault="00E8272F" w:rsidP="00E8272F">
      <w:pPr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A550AC" w:rsidRDefault="00E8272F" w:rsidP="00E8272F">
      <w:pPr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 Министерством экономического развития</w:t>
      </w:r>
    </w:p>
    <w:p w:rsidR="00E8272F" w:rsidRPr="00A550AC" w:rsidRDefault="00E8272F" w:rsidP="00E8272F">
      <w:pPr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Приднестровской Молдавской Республики </w:t>
      </w: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Министерством юстиции</w:t>
      </w: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Приднестровской Молдавской Республики </w:t>
      </w:r>
      <w:r w:rsidR="003F22B3">
        <w:rPr>
          <w:rFonts w:ascii="Times New Roman" w:eastAsia="Times New Roman" w:hAnsi="Times New Roman" w:cs="Times New Roman"/>
          <w:sz w:val="24"/>
          <w:szCs w:val="24"/>
          <w:lang w:eastAsia="ru-RU"/>
        </w:rPr>
        <w:t>28 мая 2020 года</w:t>
      </w:r>
    </w:p>
    <w:p w:rsidR="00E8272F" w:rsidRPr="00A550AC" w:rsidRDefault="00E8272F" w:rsidP="00E827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N </w:t>
      </w:r>
      <w:r w:rsidR="003F2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9529</w:t>
      </w:r>
    </w:p>
    <w:p w:rsidR="00E8272F" w:rsidRPr="00A550AC" w:rsidRDefault="00E8272F" w:rsidP="00E8272F">
      <w:pPr>
        <w:autoSpaceDE w:val="0"/>
        <w:autoSpaceDN w:val="0"/>
        <w:adjustRightInd w:val="0"/>
        <w:spacing w:after="0" w:line="233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2F" w:rsidRPr="00A550AC" w:rsidRDefault="00E8272F" w:rsidP="002429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Указание разработано в соответствии с Законом Приднестровской Молдавской Республики от 7 мая 2007 года N 212-З-IV «О центральном банке Приднестровской Молдавской Республики» (САЗ 07-20)</w:t>
      </w:r>
      <w:r w:rsidRPr="00E82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действующей редакции</w:t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Законом Приднестровской Молдавской Республики от 17 августа 2004 года N 467-З-III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бухгалтерском учете и финансовой отчетности» (САЗ 04-34)</w:t>
      </w:r>
      <w:r w:rsidRPr="00E82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действующей редакции</w:t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Законом Приднестровской Молдавской Республики от 1 декабря 1993 года «О банках и банковской деятельности в Приднестровской Молдавской Республике» (СЗМР 93-2)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2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действующей редакции</w:t>
      </w:r>
      <w:r w:rsidRPr="00A550A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E8272F" w:rsidRPr="00CD68C0" w:rsidRDefault="00E8272F" w:rsidP="00CD68C0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Внести в </w:t>
      </w:r>
      <w:r w:rsidRPr="00A550A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</w:t>
      </w:r>
      <w:r w:rsidRPr="00A55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Приднестровского республиканского банка от 16 июля 2015 года N 860-У «О порядке составления кредитными организациями годовой бухгалтерской (финансовой) отчетности»(Регистрационный N 7215 от 17 августа 2015 года) (САЗ 15-34)</w:t>
      </w:r>
      <w:r w:rsidRPr="004302B2">
        <w:rPr>
          <w:rFonts w:ascii="Times New Roman" w:hAnsi="Times New Roman" w:cs="Times New Roman"/>
          <w:sz w:val="24"/>
          <w:szCs w:val="24"/>
        </w:rPr>
        <w:t xml:space="preserve">с изменениями и дополнениями, внесенными </w:t>
      </w:r>
      <w:r w:rsidR="00FF3AD8">
        <w:rPr>
          <w:rFonts w:ascii="Times New Roman" w:hAnsi="Times New Roman" w:cs="Times New Roman"/>
          <w:sz w:val="24"/>
          <w:szCs w:val="24"/>
        </w:rPr>
        <w:t>у</w:t>
      </w:r>
      <w:r w:rsidRPr="004302B2">
        <w:rPr>
          <w:rFonts w:ascii="Times New Roman" w:hAnsi="Times New Roman" w:cs="Times New Roman"/>
          <w:sz w:val="24"/>
          <w:szCs w:val="24"/>
        </w:rPr>
        <w:t>казани</w:t>
      </w:r>
      <w:r w:rsidR="00FF3AD8">
        <w:rPr>
          <w:rFonts w:ascii="Times New Roman" w:hAnsi="Times New Roman" w:cs="Times New Roman"/>
          <w:sz w:val="24"/>
          <w:szCs w:val="24"/>
        </w:rPr>
        <w:t>ями</w:t>
      </w:r>
      <w:r w:rsidRPr="004302B2">
        <w:rPr>
          <w:rFonts w:ascii="Times New Roman" w:hAnsi="Times New Roman" w:cs="Times New Roman"/>
          <w:sz w:val="24"/>
          <w:szCs w:val="24"/>
        </w:rPr>
        <w:t xml:space="preserve"> Приднестровского </w:t>
      </w:r>
      <w:r w:rsidRPr="00734BC6"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4302B2">
        <w:rPr>
          <w:rFonts w:ascii="Times New Roman" w:hAnsi="Times New Roman" w:cs="Times New Roman"/>
          <w:sz w:val="24"/>
          <w:szCs w:val="24"/>
        </w:rPr>
        <w:t xml:space="preserve"> банка от 21 июля 2016 года N 919-У</w:t>
      </w:r>
      <w:r w:rsidR="00734BC6">
        <w:rPr>
          <w:rFonts w:ascii="Times New Roman" w:hAnsi="Times New Roman" w:cs="Times New Roman"/>
          <w:sz w:val="24"/>
          <w:szCs w:val="24"/>
        </w:rPr>
        <w:t xml:space="preserve"> (</w:t>
      </w:r>
      <w:r w:rsidR="00734BC6" w:rsidRP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Регистрационный </w:t>
      </w:r>
      <w:r w:rsidR="00BF28C7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en-US"/>
        </w:rPr>
        <w:t>N</w:t>
      </w:r>
      <w:r w:rsidR="00734BC6" w:rsidRP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7531 от 17 августа 2016 года) (САЗ </w:t>
      </w:r>
      <w:r w:rsidR="00734BC6" w:rsidRPr="00734B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16-33)</w:t>
      </w:r>
      <w:r w:rsidR="00FF3AD8">
        <w:rPr>
          <w:rFonts w:ascii="Times New Roman" w:hAnsi="Times New Roman" w:cs="Times New Roman"/>
          <w:sz w:val="24"/>
          <w:szCs w:val="24"/>
        </w:rPr>
        <w:t xml:space="preserve">; от </w:t>
      </w:r>
      <w:r w:rsidR="00630C4B">
        <w:rPr>
          <w:rFonts w:ascii="Times New Roman" w:hAnsi="Times New Roman" w:cs="Times New Roman"/>
          <w:sz w:val="24"/>
          <w:szCs w:val="24"/>
        </w:rPr>
        <w:t xml:space="preserve">30 мая 2018 года </w:t>
      </w:r>
      <w:r w:rsidR="00630C4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30C4B">
        <w:rPr>
          <w:rFonts w:ascii="Times New Roman" w:hAnsi="Times New Roman" w:cs="Times New Roman"/>
          <w:sz w:val="24"/>
          <w:szCs w:val="24"/>
        </w:rPr>
        <w:t xml:space="preserve"> 1077-У</w:t>
      </w:r>
      <w:r w:rsidR="00734BC6">
        <w:rPr>
          <w:rFonts w:ascii="Times New Roman" w:hAnsi="Times New Roman" w:cs="Times New Roman"/>
          <w:sz w:val="24"/>
          <w:szCs w:val="24"/>
        </w:rPr>
        <w:t xml:space="preserve"> (</w:t>
      </w:r>
      <w:r w:rsidR="00734BC6" w:rsidRP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Регистрационный </w:t>
      </w:r>
      <w:r w:rsidR="00BF28C7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en-US"/>
        </w:rPr>
        <w:t>N</w:t>
      </w:r>
      <w:r w:rsidR="00734BC6" w:rsidRP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8300</w:t>
      </w:r>
      <w:r w:rsidR="00734BC6" w:rsidRPr="00734BC6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="00734BC6" w:rsidRPr="00CD68C0">
        <w:rPr>
          <w:rStyle w:val="a6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от 22 июня 2018 года) (САЗ </w:t>
      </w:r>
      <w:r w:rsidR="00734BC6" w:rsidRPr="00CD68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18-25)</w:t>
      </w:r>
      <w:r w:rsidR="00630C4B" w:rsidRPr="00CD68C0">
        <w:rPr>
          <w:rFonts w:ascii="Times New Roman" w:hAnsi="Times New Roman" w:cs="Times New Roman"/>
          <w:sz w:val="24"/>
          <w:szCs w:val="24"/>
        </w:rPr>
        <w:t xml:space="preserve"> </w:t>
      </w:r>
      <w:r w:rsidR="002429B7" w:rsidRPr="00CD6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Указание), следующее</w:t>
      </w:r>
      <w:r w:rsidRPr="00CD6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29B7" w:rsidRPr="00CD6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дополнение</w:t>
      </w:r>
      <w:r w:rsidRPr="00CD6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8272F" w:rsidRPr="00CD68C0" w:rsidRDefault="00630C4B" w:rsidP="00CD68C0">
      <w:pPr>
        <w:pStyle w:val="ConsPlusNonformat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8C0">
        <w:rPr>
          <w:rFonts w:ascii="Times New Roman" w:hAnsi="Times New Roman" w:cs="Times New Roman"/>
          <w:sz w:val="24"/>
          <w:szCs w:val="24"/>
        </w:rPr>
        <w:t xml:space="preserve">дополнить </w:t>
      </w:r>
      <w:r w:rsidR="00E8272F" w:rsidRPr="00CD68C0">
        <w:rPr>
          <w:rFonts w:ascii="Times New Roman" w:hAnsi="Times New Roman" w:cs="Times New Roman"/>
          <w:sz w:val="24"/>
          <w:szCs w:val="24"/>
        </w:rPr>
        <w:t>Указани</w:t>
      </w:r>
      <w:r w:rsidRPr="00CD68C0">
        <w:rPr>
          <w:rFonts w:ascii="Times New Roman" w:hAnsi="Times New Roman" w:cs="Times New Roman"/>
          <w:sz w:val="24"/>
          <w:szCs w:val="24"/>
        </w:rPr>
        <w:t>е</w:t>
      </w:r>
      <w:r w:rsidR="00932503">
        <w:rPr>
          <w:rFonts w:ascii="Times New Roman" w:hAnsi="Times New Roman" w:cs="Times New Roman"/>
          <w:sz w:val="24"/>
          <w:szCs w:val="24"/>
        </w:rPr>
        <w:t xml:space="preserve"> </w:t>
      </w:r>
      <w:r w:rsidRPr="00CD68C0">
        <w:rPr>
          <w:rFonts w:ascii="Times New Roman" w:hAnsi="Times New Roman" w:cs="Times New Roman"/>
          <w:sz w:val="24"/>
          <w:szCs w:val="24"/>
        </w:rPr>
        <w:t xml:space="preserve">пунктом </w:t>
      </w:r>
      <w:r w:rsidR="009009D5" w:rsidRPr="00CD68C0">
        <w:rPr>
          <w:rFonts w:ascii="Times New Roman" w:hAnsi="Times New Roman" w:cs="Times New Roman"/>
          <w:sz w:val="24"/>
          <w:szCs w:val="24"/>
        </w:rPr>
        <w:t>3</w:t>
      </w:r>
      <w:r w:rsidR="00960958" w:rsidRPr="00CD68C0">
        <w:rPr>
          <w:rFonts w:ascii="Times New Roman" w:hAnsi="Times New Roman" w:cs="Times New Roman"/>
          <w:sz w:val="24"/>
          <w:szCs w:val="24"/>
        </w:rPr>
        <w:t>6</w:t>
      </w:r>
      <w:r w:rsidR="009009D5" w:rsidRPr="00CD68C0">
        <w:rPr>
          <w:rFonts w:ascii="Times New Roman" w:hAnsi="Times New Roman" w:cs="Times New Roman"/>
          <w:sz w:val="24"/>
          <w:szCs w:val="24"/>
        </w:rPr>
        <w:t xml:space="preserve">-1 </w:t>
      </w:r>
      <w:r w:rsidR="00682776" w:rsidRPr="00CD68C0">
        <w:rPr>
          <w:rFonts w:ascii="Times New Roman" w:hAnsi="Times New Roman" w:cs="Times New Roman"/>
          <w:sz w:val="24"/>
          <w:szCs w:val="24"/>
        </w:rPr>
        <w:t>следующего содержания</w:t>
      </w:r>
      <w:r w:rsidR="00E8272F" w:rsidRPr="00CD68C0">
        <w:rPr>
          <w:rFonts w:ascii="Times New Roman" w:hAnsi="Times New Roman" w:cs="Times New Roman"/>
          <w:sz w:val="24"/>
          <w:szCs w:val="24"/>
        </w:rPr>
        <w:t>:</w:t>
      </w:r>
    </w:p>
    <w:p w:rsidR="00CD68C0" w:rsidRPr="00CD68C0" w:rsidRDefault="00682776" w:rsidP="00CD68C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CD68C0">
        <w:t>«</w:t>
      </w:r>
      <w:r w:rsidR="00CD68C0" w:rsidRPr="00CD68C0">
        <w:t xml:space="preserve">36-1. </w:t>
      </w:r>
      <w:r w:rsidR="00CD68C0" w:rsidRPr="00CD68C0">
        <w:rPr>
          <w:color w:val="000000"/>
        </w:rPr>
        <w:t>Корректирующие СПОД, связанные с получением после отчетной даты первичных документов, подтверждающих доходы и расходы от совершения операций, связанных с обеспечением деятельности кредитной организации, до отчетной даты и (или) определяющих (уточняющих) стоимость работ, услуг, активов по таким операциям, могут отражаться кредитными организациями в зависимости от их существенности.</w:t>
      </w:r>
    </w:p>
    <w:p w:rsidR="00CD68C0" w:rsidRPr="00CD68C0" w:rsidRDefault="00CD68C0" w:rsidP="00CD68C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CD68C0">
        <w:rPr>
          <w:color w:val="000000"/>
        </w:rPr>
        <w:t>Существенными для отражения в бухгалтерском учете признаются корректирующие СПОД, указанные в настоящем пункте, величина которых превышает либо равна 5 (пяти) процентам от соответствующей статьи отчета о прибылях и убытках за отчетный год без учета СПОД.</w:t>
      </w:r>
    </w:p>
    <w:p w:rsidR="00CD68C0" w:rsidRPr="00CD68C0" w:rsidRDefault="00CD68C0" w:rsidP="00CD68C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CD68C0">
        <w:rPr>
          <w:color w:val="000000"/>
        </w:rPr>
        <w:lastRenderedPageBreak/>
        <w:t>Критерий существенности должен применяться к совокупности корректирующих СПОД по соответствующей статье отчета о прибылях и убытках.</w:t>
      </w:r>
    </w:p>
    <w:p w:rsidR="00CD68C0" w:rsidRPr="00CD68C0" w:rsidRDefault="00CD68C0" w:rsidP="00CD68C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CD68C0">
        <w:rPr>
          <w:color w:val="000000"/>
        </w:rPr>
        <w:t>При использовании вышеуказанного критерия существенности несущественные корректирующие СПОД отражаются на счетах по уч</w:t>
      </w:r>
      <w:r w:rsidR="00AF4AFA">
        <w:rPr>
          <w:color w:val="000000"/>
        </w:rPr>
        <w:t>ё</w:t>
      </w:r>
      <w:r w:rsidRPr="00CD68C0">
        <w:rPr>
          <w:color w:val="000000"/>
        </w:rPr>
        <w:t>ту доходов и расходов текущего периода.</w:t>
      </w:r>
    </w:p>
    <w:p w:rsidR="00682776" w:rsidRPr="00CD68C0" w:rsidRDefault="00CD68C0" w:rsidP="00CD68C0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CD68C0">
        <w:rPr>
          <w:color w:val="000000"/>
        </w:rPr>
        <w:t xml:space="preserve">В период составления годовой отчетности в случае достижения на совокупной основе критерия существенности ранее отраженные несущественные корректирующие СПОД на счетах по учету доходов и расходов текущего периода должны быть сторнированы и признаны в качестве корректировки финансового результата отчетного года бухгалтерскими записями в корреспонденции со счетом </w:t>
      </w:r>
      <w:r w:rsidR="00BF28C7">
        <w:rPr>
          <w:color w:val="000000"/>
          <w:lang w:val="en-US"/>
        </w:rPr>
        <w:t>N</w:t>
      </w:r>
      <w:r w:rsidRPr="00CD68C0">
        <w:rPr>
          <w:color w:val="000000"/>
        </w:rPr>
        <w:t xml:space="preserve"> 3055 «Нераспределенная прибыль / (контрсчет: непокрытый убыток) прошлых лет». Все последующие корректирующие СПОД по соответствующей статье отчета о прибылях и убытках отражаются в корреспонденции со счетом </w:t>
      </w:r>
      <w:r w:rsidR="00BF28C7">
        <w:rPr>
          <w:color w:val="000000"/>
          <w:lang w:val="en-US"/>
        </w:rPr>
        <w:t>N</w:t>
      </w:r>
      <w:r w:rsidRPr="00CD68C0">
        <w:rPr>
          <w:color w:val="000000"/>
        </w:rPr>
        <w:t xml:space="preserve"> 3055 «Нераспределенная прибыль / (контрсчет: непокрытый убыток) прошлых лет».</w:t>
      </w:r>
      <w:r w:rsidR="002429B7" w:rsidRPr="00CD68C0">
        <w:t>».</w:t>
      </w:r>
    </w:p>
    <w:p w:rsidR="00C52E24" w:rsidRPr="00CD68C0" w:rsidRDefault="00C52E24" w:rsidP="002429B7">
      <w:pPr>
        <w:pStyle w:val="ConsPlusNonformat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E24" w:rsidRPr="00CD68C0" w:rsidRDefault="00C52E24" w:rsidP="00242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8C0">
        <w:rPr>
          <w:rFonts w:ascii="Times New Roman" w:hAnsi="Times New Roman" w:cs="Times New Roman"/>
          <w:sz w:val="24"/>
          <w:szCs w:val="24"/>
        </w:rPr>
        <w:t>2. Настоящее Указание вступает в силу по истечении 7 (семи) рабочих дней со дня официального опубликования.</w:t>
      </w:r>
    </w:p>
    <w:p w:rsidR="00C52E24" w:rsidRPr="00CD68C0" w:rsidRDefault="00C52E24" w:rsidP="00C52E24">
      <w:pPr>
        <w:rPr>
          <w:sz w:val="24"/>
          <w:szCs w:val="24"/>
        </w:rPr>
      </w:pPr>
    </w:p>
    <w:p w:rsidR="00C52E24" w:rsidRPr="00C52E24" w:rsidRDefault="00C52E24" w:rsidP="00C52E24">
      <w:pPr>
        <w:rPr>
          <w:rFonts w:ascii="Times New Roman" w:hAnsi="Times New Roman" w:cs="Times New Roman"/>
          <w:sz w:val="24"/>
          <w:szCs w:val="24"/>
        </w:rPr>
      </w:pPr>
      <w:r w:rsidRPr="00C52E24">
        <w:rPr>
          <w:rFonts w:ascii="Times New Roman" w:hAnsi="Times New Roman" w:cs="Times New Roman"/>
          <w:sz w:val="24"/>
          <w:szCs w:val="24"/>
        </w:rPr>
        <w:t xml:space="preserve">Председатель банка                                                                  </w:t>
      </w:r>
      <w:r w:rsidR="003F22B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52E24">
        <w:rPr>
          <w:rFonts w:ascii="Times New Roman" w:hAnsi="Times New Roman" w:cs="Times New Roman"/>
          <w:sz w:val="24"/>
          <w:szCs w:val="24"/>
        </w:rPr>
        <w:t xml:space="preserve">         В.С. Тидва</w:t>
      </w:r>
    </w:p>
    <w:p w:rsidR="00C52E24" w:rsidRPr="00C52E24" w:rsidRDefault="00C52E24" w:rsidP="00C52E24">
      <w:pPr>
        <w:rPr>
          <w:rFonts w:ascii="Times New Roman" w:hAnsi="Times New Roman" w:cs="Times New Roman"/>
          <w:sz w:val="24"/>
          <w:szCs w:val="24"/>
        </w:rPr>
      </w:pPr>
    </w:p>
    <w:p w:rsidR="00C52E24" w:rsidRPr="00C52E24" w:rsidRDefault="00C52E24" w:rsidP="00C52E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E24">
        <w:rPr>
          <w:rFonts w:ascii="Times New Roman" w:hAnsi="Times New Roman" w:cs="Times New Roman"/>
          <w:sz w:val="24"/>
          <w:szCs w:val="24"/>
        </w:rPr>
        <w:t>г. Тирасполь</w:t>
      </w:r>
    </w:p>
    <w:p w:rsidR="00C52E24" w:rsidRPr="00C52E24" w:rsidRDefault="00932503" w:rsidP="00C52E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мая</w:t>
      </w:r>
      <w:r w:rsidR="00C52E24">
        <w:rPr>
          <w:rFonts w:ascii="Times New Roman" w:hAnsi="Times New Roman" w:cs="Times New Roman"/>
          <w:sz w:val="24"/>
          <w:szCs w:val="24"/>
        </w:rPr>
        <w:t xml:space="preserve"> 2020 год</w:t>
      </w:r>
    </w:p>
    <w:p w:rsidR="00C52E24" w:rsidRPr="00C52E24" w:rsidRDefault="00C52E24" w:rsidP="00C52E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E24">
        <w:rPr>
          <w:rFonts w:ascii="Times New Roman" w:hAnsi="Times New Roman" w:cs="Times New Roman"/>
          <w:sz w:val="24"/>
          <w:szCs w:val="24"/>
        </w:rPr>
        <w:t xml:space="preserve">N </w:t>
      </w:r>
      <w:r w:rsidR="00932503">
        <w:rPr>
          <w:rFonts w:ascii="Times New Roman" w:hAnsi="Times New Roman" w:cs="Times New Roman"/>
          <w:sz w:val="24"/>
          <w:szCs w:val="24"/>
        </w:rPr>
        <w:t>1260</w:t>
      </w:r>
      <w:r w:rsidRPr="00C52E24">
        <w:rPr>
          <w:rFonts w:ascii="Times New Roman" w:hAnsi="Times New Roman" w:cs="Times New Roman"/>
          <w:sz w:val="24"/>
          <w:szCs w:val="24"/>
        </w:rPr>
        <w:t>-У</w:t>
      </w:r>
    </w:p>
    <w:p w:rsidR="00C52E24" w:rsidRDefault="00C52E24" w:rsidP="00C52E24"/>
    <w:p w:rsidR="00B25587" w:rsidRPr="00B83C4A" w:rsidRDefault="00B25587" w:rsidP="00B2558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C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</w:p>
    <w:p w:rsidR="00B25587" w:rsidRPr="00B83C4A" w:rsidRDefault="00B25587" w:rsidP="00B2558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541" w:rsidRPr="00164541" w:rsidRDefault="00164541" w:rsidP="00164541">
      <w:pPr>
        <w:widowControl w:val="0"/>
        <w:autoSpaceDE w:val="0"/>
        <w:autoSpaceDN w:val="0"/>
        <w:adjustRightInd w:val="0"/>
        <w:spacing w:after="0" w:line="235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1645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Заместитель Председателя Правительства </w:t>
      </w:r>
    </w:p>
    <w:p w:rsidR="00164541" w:rsidRPr="00164541" w:rsidRDefault="00164541" w:rsidP="00164541">
      <w:pPr>
        <w:widowControl w:val="0"/>
        <w:autoSpaceDE w:val="0"/>
        <w:autoSpaceDN w:val="0"/>
        <w:adjustRightInd w:val="0"/>
        <w:spacing w:after="0" w:line="235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164541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Приднестровской Молдавской Республики –</w:t>
      </w:r>
    </w:p>
    <w:p w:rsidR="00164541" w:rsidRPr="00164541" w:rsidRDefault="00164541" w:rsidP="00164541">
      <w:pPr>
        <w:widowControl w:val="0"/>
        <w:autoSpaceDE w:val="0"/>
        <w:autoSpaceDN w:val="0"/>
        <w:adjustRightInd w:val="0"/>
        <w:spacing w:after="0" w:line="235" w:lineRule="auto"/>
        <w:jc w:val="both"/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</w:pPr>
      <w:r w:rsidRPr="00164541"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  <w:t xml:space="preserve">министр экономического развития </w:t>
      </w:r>
    </w:p>
    <w:p w:rsidR="00164541" w:rsidRPr="00164541" w:rsidRDefault="00164541" w:rsidP="00164541">
      <w:pPr>
        <w:widowControl w:val="0"/>
        <w:autoSpaceDE w:val="0"/>
        <w:autoSpaceDN w:val="0"/>
        <w:adjustRightInd w:val="0"/>
        <w:spacing w:after="0" w:line="235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164541"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  <w:t xml:space="preserve">Приднестровской Молдавской Республики     </w:t>
      </w:r>
      <w:r w:rsidR="003F22B3"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  <w:t xml:space="preserve">                               </w:t>
      </w:r>
      <w:r w:rsidRPr="00164541"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  <w:t xml:space="preserve">                   С. А. </w:t>
      </w:r>
      <w:proofErr w:type="spellStart"/>
      <w:r w:rsidRPr="00164541">
        <w:rPr>
          <w:rFonts w:ascii="Times New Roman CYR" w:eastAsiaTheme="minorEastAsia" w:hAnsi="Times New Roman CYR" w:cs="Times New Roman CYR"/>
          <w:snapToGrid w:val="0"/>
          <w:sz w:val="24"/>
          <w:szCs w:val="24"/>
          <w:lang w:eastAsia="ru-RU"/>
        </w:rPr>
        <w:t>Оболоник</w:t>
      </w:r>
      <w:proofErr w:type="spellEnd"/>
    </w:p>
    <w:p w:rsidR="00C52E24" w:rsidRDefault="00C52E24" w:rsidP="00164541">
      <w:pPr>
        <w:tabs>
          <w:tab w:val="left" w:pos="1560"/>
        </w:tabs>
        <w:spacing w:after="0" w:line="240" w:lineRule="auto"/>
        <w:jc w:val="both"/>
      </w:pPr>
    </w:p>
    <w:sectPr w:rsidR="00C52E24" w:rsidSect="000D7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40C29"/>
    <w:multiLevelType w:val="hybridMultilevel"/>
    <w:tmpl w:val="4D182A18"/>
    <w:lvl w:ilvl="0" w:tplc="BAA6FB02">
      <w:start w:val="1"/>
      <w:numFmt w:val="russianLower"/>
      <w:lvlText w:val="%1)"/>
      <w:lvlJc w:val="left"/>
      <w:pPr>
        <w:ind w:left="1211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72F"/>
    <w:rsid w:val="00037BB1"/>
    <w:rsid w:val="000A4B0F"/>
    <w:rsid w:val="000D7D7B"/>
    <w:rsid w:val="00164541"/>
    <w:rsid w:val="002429B7"/>
    <w:rsid w:val="003F22B3"/>
    <w:rsid w:val="00520C1F"/>
    <w:rsid w:val="005A5985"/>
    <w:rsid w:val="005B5DA6"/>
    <w:rsid w:val="005D7421"/>
    <w:rsid w:val="00630C4B"/>
    <w:rsid w:val="00682776"/>
    <w:rsid w:val="006B5C85"/>
    <w:rsid w:val="007150B5"/>
    <w:rsid w:val="00734BC6"/>
    <w:rsid w:val="009009D5"/>
    <w:rsid w:val="00932503"/>
    <w:rsid w:val="00960958"/>
    <w:rsid w:val="009903C5"/>
    <w:rsid w:val="00AF4AFA"/>
    <w:rsid w:val="00B25587"/>
    <w:rsid w:val="00B53F87"/>
    <w:rsid w:val="00BF28C7"/>
    <w:rsid w:val="00C52E24"/>
    <w:rsid w:val="00CD68C0"/>
    <w:rsid w:val="00D85FD0"/>
    <w:rsid w:val="00DC0BDE"/>
    <w:rsid w:val="00E8272F"/>
    <w:rsid w:val="00E9153A"/>
    <w:rsid w:val="00EC2C62"/>
    <w:rsid w:val="00EF4D3C"/>
    <w:rsid w:val="00EF6BF2"/>
    <w:rsid w:val="00FC3F0B"/>
    <w:rsid w:val="00FF3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D9454-A500-4F61-B5FD-A26B3312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827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34B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Десятник Т.В.</dc:creator>
  <cp:lastModifiedBy>Кесслер К.Ф.</cp:lastModifiedBy>
  <cp:revision>4</cp:revision>
  <dcterms:created xsi:type="dcterms:W3CDTF">2020-06-09T12:33:00Z</dcterms:created>
  <dcterms:modified xsi:type="dcterms:W3CDTF">2020-06-09T12:46:00Z</dcterms:modified>
</cp:coreProperties>
</file>