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219"/>
        <w:gridCol w:w="1418"/>
        <w:gridCol w:w="4110"/>
      </w:tblGrid>
      <w:tr w:rsidR="006A0F64" w:rsidRPr="00BF265C" w:rsidTr="00ED4336">
        <w:tc>
          <w:tcPr>
            <w:tcW w:w="4219" w:type="dxa"/>
            <w:vAlign w:val="center"/>
          </w:tcPr>
          <w:p w:rsidR="006A0F64" w:rsidRPr="00BF265C" w:rsidRDefault="006A0F64">
            <w:pPr>
              <w:pStyle w:val="1"/>
              <w:jc w:val="center"/>
              <w:rPr>
                <w:sz w:val="22"/>
                <w:lang w:val="ru-RU"/>
              </w:rPr>
            </w:pPr>
            <w:r w:rsidRPr="00BF265C">
              <w:rPr>
                <w:sz w:val="22"/>
                <w:lang w:val="ru-RU"/>
              </w:rPr>
              <w:t>БАНКА РЕПУБЛИКАНЭ</w:t>
            </w:r>
          </w:p>
          <w:p w:rsidR="006A0F64" w:rsidRPr="00BF265C" w:rsidRDefault="006A0F64" w:rsidP="00ED4336">
            <w:pPr>
              <w:jc w:val="center"/>
              <w:rPr>
                <w:sz w:val="22"/>
              </w:rPr>
            </w:pPr>
            <w:r w:rsidRPr="00BF265C">
              <w:rPr>
                <w:sz w:val="22"/>
              </w:rPr>
              <w:t>НИСТРЯНЭ</w:t>
            </w:r>
          </w:p>
        </w:tc>
        <w:tc>
          <w:tcPr>
            <w:tcW w:w="1418" w:type="dxa"/>
          </w:tcPr>
          <w:p w:rsidR="006A0F64" w:rsidRPr="00BF265C" w:rsidRDefault="00586D22" w:rsidP="00E57D45">
            <w:pPr>
              <w:ind w:left="-250" w:right="176" w:firstLine="250"/>
              <w:jc w:val="center"/>
            </w:pPr>
            <w:r w:rsidRPr="00BF265C">
              <w:rPr>
                <w:noProof/>
                <w:sz w:val="26"/>
                <w:szCs w:val="26"/>
              </w:rPr>
              <w:drawing>
                <wp:inline distT="0" distB="0" distL="0" distR="0">
                  <wp:extent cx="654050" cy="711200"/>
                  <wp:effectExtent l="1905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7" cstate="print"/>
                          <a:srcRect/>
                          <a:stretch>
                            <a:fillRect/>
                          </a:stretch>
                        </pic:blipFill>
                        <pic:spPr bwMode="auto">
                          <a:xfrm>
                            <a:off x="0" y="0"/>
                            <a:ext cx="654050" cy="711200"/>
                          </a:xfrm>
                          <a:prstGeom prst="rect">
                            <a:avLst/>
                          </a:prstGeom>
                          <a:noFill/>
                          <a:ln w="9525">
                            <a:noFill/>
                            <a:miter lim="800000"/>
                            <a:headEnd/>
                            <a:tailEnd/>
                          </a:ln>
                        </pic:spPr>
                      </pic:pic>
                    </a:graphicData>
                  </a:graphic>
                </wp:inline>
              </w:drawing>
            </w:r>
          </w:p>
        </w:tc>
        <w:tc>
          <w:tcPr>
            <w:tcW w:w="4110" w:type="dxa"/>
            <w:vAlign w:val="center"/>
          </w:tcPr>
          <w:p w:rsidR="006A0F64" w:rsidRPr="00BF265C" w:rsidRDefault="006A0F64" w:rsidP="00ED4336">
            <w:pPr>
              <w:pStyle w:val="1"/>
              <w:jc w:val="center"/>
              <w:rPr>
                <w:sz w:val="22"/>
                <w:lang w:val="ru-RU"/>
              </w:rPr>
            </w:pPr>
            <w:r w:rsidRPr="00BF265C">
              <w:rPr>
                <w:sz w:val="22"/>
                <w:lang w:val="ru-RU"/>
              </w:rPr>
              <w:t>ПРИДНIСТРОВСЬКИЙ</w:t>
            </w:r>
          </w:p>
          <w:p w:rsidR="006A0F64" w:rsidRPr="00BF265C" w:rsidRDefault="006A0F64" w:rsidP="00ED4336">
            <w:pPr>
              <w:pStyle w:val="1"/>
              <w:jc w:val="center"/>
              <w:rPr>
                <w:sz w:val="22"/>
                <w:lang w:val="ru-RU"/>
              </w:rPr>
            </w:pPr>
            <w:r w:rsidRPr="00BF265C">
              <w:rPr>
                <w:sz w:val="22"/>
                <w:lang w:val="ru-RU"/>
              </w:rPr>
              <w:t>РЕСПУБЛIКАНСЬКИЙ БАНК</w:t>
            </w:r>
          </w:p>
        </w:tc>
      </w:tr>
      <w:tr w:rsidR="006A0F64" w:rsidRPr="00BF265C" w:rsidTr="00ED4336">
        <w:trPr>
          <w:cantSplit/>
        </w:trPr>
        <w:tc>
          <w:tcPr>
            <w:tcW w:w="9747" w:type="dxa"/>
            <w:gridSpan w:val="3"/>
          </w:tcPr>
          <w:p w:rsidR="006A0F64" w:rsidRPr="00BF265C" w:rsidRDefault="006A0F64">
            <w:pPr>
              <w:pStyle w:val="1"/>
              <w:spacing w:before="120"/>
              <w:jc w:val="center"/>
              <w:rPr>
                <w:sz w:val="18"/>
                <w:szCs w:val="18"/>
                <w:lang w:val="ru-RU"/>
              </w:rPr>
            </w:pPr>
          </w:p>
          <w:p w:rsidR="006A0F64" w:rsidRPr="00BF265C" w:rsidRDefault="006A0F64">
            <w:pPr>
              <w:pStyle w:val="1"/>
              <w:spacing w:before="120"/>
              <w:jc w:val="center"/>
              <w:rPr>
                <w:sz w:val="22"/>
                <w:lang w:val="ru-RU"/>
              </w:rPr>
            </w:pPr>
            <w:r w:rsidRPr="00BF265C">
              <w:rPr>
                <w:sz w:val="22"/>
                <w:lang w:val="ru-RU"/>
              </w:rPr>
              <w:t>ПРИДНЕСТРОВСКИЙ РЕСПУБЛИКАНСКИЙ</w:t>
            </w:r>
          </w:p>
          <w:p w:rsidR="006A0F64" w:rsidRPr="00BF265C" w:rsidRDefault="006A0F64">
            <w:pPr>
              <w:pStyle w:val="1"/>
              <w:spacing w:line="360" w:lineRule="auto"/>
              <w:jc w:val="center"/>
              <w:rPr>
                <w:sz w:val="22"/>
                <w:lang w:val="ru-RU"/>
              </w:rPr>
            </w:pPr>
            <w:r w:rsidRPr="00BF265C">
              <w:rPr>
                <w:sz w:val="22"/>
                <w:lang w:val="ru-RU"/>
              </w:rPr>
              <w:t>БАНК</w:t>
            </w:r>
          </w:p>
          <w:p w:rsidR="006A0F64" w:rsidRPr="00BF265C" w:rsidRDefault="006A0F64">
            <w:pPr>
              <w:spacing w:line="360" w:lineRule="auto"/>
              <w:jc w:val="center"/>
              <w:rPr>
                <w:sz w:val="22"/>
              </w:rPr>
            </w:pPr>
          </w:p>
        </w:tc>
      </w:tr>
    </w:tbl>
    <w:p w:rsidR="00136D76" w:rsidRPr="00BF265C" w:rsidRDefault="00136D76" w:rsidP="00136D76">
      <w:pPr>
        <w:pStyle w:val="a7"/>
        <w:jc w:val="center"/>
        <w:rPr>
          <w:szCs w:val="24"/>
        </w:rPr>
      </w:pPr>
    </w:p>
    <w:p w:rsidR="00136D76" w:rsidRPr="00BF265C" w:rsidRDefault="00136D76" w:rsidP="00136D76">
      <w:pPr>
        <w:pStyle w:val="a7"/>
        <w:jc w:val="center"/>
        <w:rPr>
          <w:i/>
          <w:szCs w:val="24"/>
        </w:rPr>
      </w:pPr>
      <w:r w:rsidRPr="00BF265C">
        <w:rPr>
          <w:szCs w:val="24"/>
        </w:rPr>
        <w:t>УКАЗАНИЕ</w:t>
      </w:r>
    </w:p>
    <w:p w:rsidR="00136D76" w:rsidRPr="00BF265C" w:rsidRDefault="00136D76" w:rsidP="00136D76">
      <w:pPr>
        <w:pStyle w:val="a7"/>
        <w:jc w:val="center"/>
        <w:rPr>
          <w:szCs w:val="24"/>
        </w:rPr>
      </w:pPr>
    </w:p>
    <w:p w:rsidR="00106E85" w:rsidRDefault="00136D76" w:rsidP="00106E85">
      <w:pPr>
        <w:pStyle w:val="3"/>
        <w:spacing w:after="0" w:line="240" w:lineRule="auto"/>
        <w:jc w:val="center"/>
        <w:rPr>
          <w:sz w:val="24"/>
          <w:szCs w:val="24"/>
        </w:rPr>
      </w:pPr>
      <w:r w:rsidRPr="00BF265C">
        <w:rPr>
          <w:sz w:val="24"/>
          <w:szCs w:val="24"/>
        </w:rPr>
        <w:t xml:space="preserve">О внесении изменений и дополнений в Инструкцию Приднестровского республиканского банка от 9 июля 2010 года N 31-И «О порядке осуществления валютного контроля за платежами в иностранной валюте в пользу нерезидентов» </w:t>
      </w:r>
    </w:p>
    <w:p w:rsidR="00136D76" w:rsidRPr="00BF265C" w:rsidRDefault="00136D76" w:rsidP="00106E85">
      <w:pPr>
        <w:pStyle w:val="3"/>
        <w:spacing w:after="0" w:line="240" w:lineRule="auto"/>
        <w:jc w:val="center"/>
        <w:rPr>
          <w:sz w:val="24"/>
          <w:szCs w:val="24"/>
        </w:rPr>
      </w:pPr>
      <w:r w:rsidRPr="00BF265C">
        <w:rPr>
          <w:sz w:val="24"/>
          <w:szCs w:val="24"/>
        </w:rPr>
        <w:t>(регистрационный N 5385 от 15 сентября 2010 года) (САЗ 10-37)</w:t>
      </w:r>
    </w:p>
    <w:p w:rsidR="00136D76" w:rsidRPr="00BF265C" w:rsidRDefault="00136D76" w:rsidP="00106E85">
      <w:pPr>
        <w:pStyle w:val="3"/>
        <w:spacing w:after="0" w:line="240" w:lineRule="auto"/>
        <w:jc w:val="center"/>
        <w:rPr>
          <w:sz w:val="24"/>
          <w:szCs w:val="24"/>
        </w:rPr>
      </w:pPr>
    </w:p>
    <w:p w:rsidR="00136D76" w:rsidRPr="00BF265C" w:rsidRDefault="00136D76" w:rsidP="00106E85">
      <w:pPr>
        <w:pStyle w:val="3"/>
        <w:spacing w:after="0" w:line="240" w:lineRule="auto"/>
        <w:jc w:val="center"/>
        <w:rPr>
          <w:sz w:val="24"/>
          <w:szCs w:val="24"/>
        </w:rPr>
      </w:pPr>
      <w:r w:rsidRPr="00BF265C">
        <w:rPr>
          <w:sz w:val="24"/>
          <w:szCs w:val="24"/>
        </w:rPr>
        <w:t>Утверждено Решением правления</w:t>
      </w:r>
    </w:p>
    <w:p w:rsidR="00136D76" w:rsidRPr="00BF265C" w:rsidRDefault="00136D76" w:rsidP="00106E85">
      <w:pPr>
        <w:pStyle w:val="3"/>
        <w:spacing w:after="0" w:line="240" w:lineRule="auto"/>
        <w:jc w:val="center"/>
        <w:rPr>
          <w:sz w:val="24"/>
          <w:szCs w:val="24"/>
        </w:rPr>
      </w:pPr>
      <w:r w:rsidRPr="00BF265C">
        <w:rPr>
          <w:sz w:val="24"/>
          <w:szCs w:val="24"/>
        </w:rPr>
        <w:t>Приднестровского республиканского банка</w:t>
      </w:r>
    </w:p>
    <w:p w:rsidR="00136D76" w:rsidRPr="003F2E54" w:rsidRDefault="00136D76" w:rsidP="00106E85">
      <w:pPr>
        <w:pStyle w:val="3"/>
        <w:spacing w:after="0" w:line="240" w:lineRule="auto"/>
        <w:jc w:val="center"/>
        <w:rPr>
          <w:color w:val="000000" w:themeColor="text1"/>
          <w:sz w:val="24"/>
          <w:szCs w:val="24"/>
        </w:rPr>
      </w:pPr>
      <w:r w:rsidRPr="00BF265C">
        <w:rPr>
          <w:sz w:val="24"/>
          <w:szCs w:val="24"/>
        </w:rPr>
        <w:t>Протокол N</w:t>
      </w:r>
      <w:r w:rsidR="003F2E54">
        <w:rPr>
          <w:sz w:val="24"/>
          <w:szCs w:val="24"/>
        </w:rPr>
        <w:t xml:space="preserve"> </w:t>
      </w:r>
      <w:r w:rsidR="00515FC9" w:rsidRPr="003F2E54">
        <w:rPr>
          <w:color w:val="000000" w:themeColor="text1"/>
          <w:sz w:val="24"/>
          <w:szCs w:val="24"/>
        </w:rPr>
        <w:t>44</w:t>
      </w:r>
      <w:r w:rsidRPr="003F2E54">
        <w:rPr>
          <w:color w:val="000000" w:themeColor="text1"/>
          <w:sz w:val="24"/>
          <w:szCs w:val="24"/>
        </w:rPr>
        <w:t xml:space="preserve"> от </w:t>
      </w:r>
      <w:r w:rsidR="00515FC9" w:rsidRPr="003F2E54">
        <w:rPr>
          <w:color w:val="000000" w:themeColor="text1"/>
          <w:sz w:val="24"/>
          <w:szCs w:val="24"/>
        </w:rPr>
        <w:t xml:space="preserve">24 сентября </w:t>
      </w:r>
      <w:r w:rsidRPr="003F2E54">
        <w:rPr>
          <w:color w:val="000000" w:themeColor="text1"/>
          <w:sz w:val="24"/>
          <w:szCs w:val="24"/>
        </w:rPr>
        <w:t>2019 года</w:t>
      </w:r>
    </w:p>
    <w:p w:rsidR="00136D76" w:rsidRPr="00BF265C" w:rsidRDefault="00136D76" w:rsidP="00106E85">
      <w:pPr>
        <w:pStyle w:val="3"/>
        <w:spacing w:after="0" w:line="240" w:lineRule="auto"/>
        <w:jc w:val="center"/>
        <w:rPr>
          <w:sz w:val="24"/>
          <w:szCs w:val="24"/>
        </w:rPr>
      </w:pPr>
    </w:p>
    <w:p w:rsidR="00136D76" w:rsidRPr="00BF265C" w:rsidRDefault="00136D76" w:rsidP="00106E85">
      <w:pPr>
        <w:pStyle w:val="3"/>
        <w:spacing w:after="0" w:line="240" w:lineRule="auto"/>
        <w:jc w:val="center"/>
        <w:rPr>
          <w:sz w:val="24"/>
          <w:szCs w:val="24"/>
        </w:rPr>
      </w:pPr>
      <w:r w:rsidRPr="00BF265C">
        <w:rPr>
          <w:sz w:val="24"/>
          <w:szCs w:val="24"/>
        </w:rPr>
        <w:t>Согласовано: Государственный таможенный комитет</w:t>
      </w:r>
    </w:p>
    <w:p w:rsidR="00136D76" w:rsidRPr="00BF265C" w:rsidRDefault="00136D76" w:rsidP="00106E85">
      <w:pPr>
        <w:pStyle w:val="3"/>
        <w:spacing w:after="0" w:line="240" w:lineRule="auto"/>
        <w:jc w:val="center"/>
        <w:rPr>
          <w:sz w:val="24"/>
          <w:szCs w:val="24"/>
        </w:rPr>
      </w:pPr>
      <w:r w:rsidRPr="00BF265C">
        <w:rPr>
          <w:sz w:val="24"/>
          <w:szCs w:val="24"/>
        </w:rPr>
        <w:t>Приднестровской Молдавской Республики</w:t>
      </w:r>
    </w:p>
    <w:p w:rsidR="00136D76" w:rsidRPr="00BF265C" w:rsidRDefault="00136D76" w:rsidP="00106E85">
      <w:pPr>
        <w:pStyle w:val="3"/>
        <w:spacing w:after="0" w:line="240" w:lineRule="auto"/>
        <w:jc w:val="center"/>
        <w:rPr>
          <w:sz w:val="24"/>
          <w:szCs w:val="24"/>
        </w:rPr>
      </w:pPr>
    </w:p>
    <w:p w:rsidR="00136D76" w:rsidRPr="00BF265C" w:rsidRDefault="00136D76" w:rsidP="00106E85">
      <w:pPr>
        <w:pStyle w:val="3"/>
        <w:spacing w:after="0" w:line="240" w:lineRule="auto"/>
        <w:jc w:val="center"/>
        <w:rPr>
          <w:sz w:val="24"/>
          <w:szCs w:val="24"/>
        </w:rPr>
      </w:pPr>
      <w:r w:rsidRPr="00BF265C">
        <w:rPr>
          <w:sz w:val="24"/>
          <w:szCs w:val="24"/>
        </w:rPr>
        <w:t>Зарегистрировано Министерством юстиции</w:t>
      </w:r>
    </w:p>
    <w:p w:rsidR="00136D76" w:rsidRPr="003F2E54" w:rsidRDefault="00136D76" w:rsidP="00106E85">
      <w:pPr>
        <w:pStyle w:val="3"/>
        <w:spacing w:after="0" w:line="240" w:lineRule="auto"/>
        <w:jc w:val="center"/>
        <w:rPr>
          <w:color w:val="000000" w:themeColor="text1"/>
          <w:sz w:val="24"/>
          <w:szCs w:val="24"/>
        </w:rPr>
      </w:pPr>
      <w:r w:rsidRPr="00BF265C">
        <w:rPr>
          <w:sz w:val="24"/>
          <w:szCs w:val="24"/>
        </w:rPr>
        <w:t>Приднестровской Молдавской Республики</w:t>
      </w:r>
      <w:r w:rsidR="003F2E54">
        <w:rPr>
          <w:sz w:val="24"/>
          <w:szCs w:val="24"/>
        </w:rPr>
        <w:t xml:space="preserve"> </w:t>
      </w:r>
      <w:r w:rsidR="000D1008" w:rsidRPr="003F2E54">
        <w:rPr>
          <w:color w:val="000000" w:themeColor="text1"/>
          <w:sz w:val="24"/>
          <w:szCs w:val="24"/>
        </w:rPr>
        <w:t>29 октября 2019 года</w:t>
      </w:r>
    </w:p>
    <w:p w:rsidR="00136D76" w:rsidRPr="00BF265C" w:rsidRDefault="00136D76" w:rsidP="00106E85">
      <w:pPr>
        <w:pStyle w:val="3"/>
        <w:spacing w:after="0" w:line="240" w:lineRule="auto"/>
        <w:jc w:val="center"/>
        <w:rPr>
          <w:sz w:val="24"/>
          <w:szCs w:val="24"/>
        </w:rPr>
      </w:pPr>
      <w:r w:rsidRPr="00BF265C">
        <w:rPr>
          <w:sz w:val="24"/>
          <w:szCs w:val="24"/>
        </w:rPr>
        <w:t>Регистрационн</w:t>
      </w:r>
      <w:bookmarkStart w:id="0" w:name="_GoBack"/>
      <w:bookmarkEnd w:id="0"/>
      <w:r w:rsidRPr="00BF265C">
        <w:rPr>
          <w:sz w:val="24"/>
          <w:szCs w:val="24"/>
        </w:rPr>
        <w:t xml:space="preserve">ый </w:t>
      </w:r>
      <w:r w:rsidRPr="003F2E54">
        <w:rPr>
          <w:color w:val="000000" w:themeColor="text1"/>
          <w:sz w:val="24"/>
          <w:szCs w:val="24"/>
        </w:rPr>
        <w:t xml:space="preserve">N </w:t>
      </w:r>
      <w:r w:rsidR="000D1008" w:rsidRPr="003F2E54">
        <w:rPr>
          <w:color w:val="000000" w:themeColor="text1"/>
          <w:sz w:val="24"/>
          <w:szCs w:val="24"/>
        </w:rPr>
        <w:t>9137</w:t>
      </w:r>
    </w:p>
    <w:p w:rsidR="00136D76" w:rsidRPr="00BF265C" w:rsidRDefault="00136D76" w:rsidP="00136D76">
      <w:pPr>
        <w:pStyle w:val="3"/>
        <w:spacing w:after="0"/>
        <w:jc w:val="center"/>
        <w:rPr>
          <w:sz w:val="24"/>
          <w:szCs w:val="24"/>
        </w:rPr>
      </w:pPr>
    </w:p>
    <w:p w:rsidR="00136D76" w:rsidRPr="00BF265C" w:rsidRDefault="00136D76" w:rsidP="00136D76">
      <w:pPr>
        <w:ind w:firstLine="851"/>
        <w:jc w:val="both"/>
        <w:rPr>
          <w:sz w:val="24"/>
          <w:szCs w:val="24"/>
        </w:rPr>
      </w:pPr>
      <w:r w:rsidRPr="00BF265C">
        <w:rPr>
          <w:sz w:val="24"/>
          <w:szCs w:val="24"/>
        </w:rPr>
        <w:t xml:space="preserve">Настоящее Указание разработано в соответствии с </w:t>
      </w:r>
      <w:hyperlink r:id="rId8" w:history="1">
        <w:r w:rsidRPr="00BF265C">
          <w:rPr>
            <w:sz w:val="24"/>
            <w:szCs w:val="24"/>
          </w:rPr>
          <w:t>Законом</w:t>
        </w:r>
      </w:hyperlink>
      <w:r w:rsidRPr="00BF265C">
        <w:rPr>
          <w:sz w:val="24"/>
          <w:szCs w:val="24"/>
        </w:rPr>
        <w:t xml:space="preserve"> Приднестровской Молдавской Республики от 7 мая 2007 года N 212-З-IV «О центральном банке Приднестровской Молдавской Республики» (САЗ 07-20)</w:t>
      </w:r>
      <w:r w:rsidR="00BF265C" w:rsidRPr="00B14E70">
        <w:rPr>
          <w:sz w:val="24"/>
          <w:szCs w:val="24"/>
        </w:rPr>
        <w:t xml:space="preserve">в </w:t>
      </w:r>
      <w:r w:rsidR="00BE5F7C">
        <w:rPr>
          <w:sz w:val="24"/>
          <w:szCs w:val="24"/>
        </w:rPr>
        <w:t>действующей</w:t>
      </w:r>
      <w:r w:rsidR="00BF265C" w:rsidRPr="00B14E70">
        <w:rPr>
          <w:sz w:val="24"/>
          <w:szCs w:val="24"/>
        </w:rPr>
        <w:t xml:space="preserve"> редакции</w:t>
      </w:r>
      <w:r w:rsidRPr="00BF265C">
        <w:rPr>
          <w:sz w:val="24"/>
          <w:szCs w:val="24"/>
        </w:rPr>
        <w:t>, Законом Приднестровской Молдавской Республики от 6 июня 1995 года «О валютном регулировании и валютном контроле» (СЗМР 95-2)</w:t>
      </w:r>
      <w:r w:rsidR="00BE5F7C" w:rsidRPr="00B14E70">
        <w:rPr>
          <w:sz w:val="24"/>
          <w:szCs w:val="24"/>
        </w:rPr>
        <w:t xml:space="preserve">в </w:t>
      </w:r>
      <w:r w:rsidR="00BE5F7C">
        <w:rPr>
          <w:sz w:val="24"/>
          <w:szCs w:val="24"/>
        </w:rPr>
        <w:t>действующей</w:t>
      </w:r>
      <w:r w:rsidR="00BE5F7C" w:rsidRPr="00B14E70">
        <w:rPr>
          <w:sz w:val="24"/>
          <w:szCs w:val="24"/>
        </w:rPr>
        <w:t xml:space="preserve"> редакции</w:t>
      </w:r>
      <w:r w:rsidRPr="00BF265C">
        <w:rPr>
          <w:sz w:val="24"/>
          <w:szCs w:val="24"/>
        </w:rPr>
        <w:t xml:space="preserve">, Таможенным Кодексом Приднестровской Молдавской Республики. </w:t>
      </w:r>
    </w:p>
    <w:p w:rsidR="00BF265C" w:rsidRDefault="00BF265C" w:rsidP="00136D76">
      <w:pPr>
        <w:ind w:firstLine="851"/>
        <w:jc w:val="both"/>
        <w:rPr>
          <w:sz w:val="24"/>
          <w:szCs w:val="24"/>
        </w:rPr>
      </w:pPr>
    </w:p>
    <w:p w:rsidR="00136D76" w:rsidRPr="00BF265C" w:rsidRDefault="00136D76" w:rsidP="00136D76">
      <w:pPr>
        <w:ind w:firstLine="851"/>
        <w:jc w:val="both"/>
        <w:rPr>
          <w:sz w:val="24"/>
          <w:szCs w:val="24"/>
        </w:rPr>
      </w:pPr>
      <w:r w:rsidRPr="00BF265C">
        <w:rPr>
          <w:sz w:val="24"/>
          <w:szCs w:val="24"/>
        </w:rPr>
        <w:t xml:space="preserve">1. Внести в </w:t>
      </w:r>
      <w:hyperlink r:id="rId9" w:history="1">
        <w:r w:rsidRPr="00BF265C">
          <w:rPr>
            <w:sz w:val="24"/>
            <w:szCs w:val="24"/>
          </w:rPr>
          <w:t>Инструкцию</w:t>
        </w:r>
      </w:hyperlink>
      <w:r w:rsidRPr="00BF265C">
        <w:rPr>
          <w:sz w:val="24"/>
          <w:szCs w:val="24"/>
        </w:rPr>
        <w:t xml:space="preserve"> Приднестровского республиканского банка от 9 июля 2010 года N 31-И «О порядке осуществления валютного контроля за платежами в иностранной валюте в пользу нерезидентов» (регистрационный N 5385 от 15 сентября 2010 года) (САЗ 10-37) с изменениями и дополнениями, внесенными указаниями Приднестровского республиканского банка от 3 марта 2011 года </w:t>
      </w:r>
      <w:r w:rsidRPr="00BF265C">
        <w:rPr>
          <w:sz w:val="24"/>
          <w:szCs w:val="24"/>
          <w:lang w:val="en-US"/>
        </w:rPr>
        <w:t>N</w:t>
      </w:r>
      <w:r w:rsidRPr="00BF265C">
        <w:rPr>
          <w:sz w:val="24"/>
          <w:szCs w:val="24"/>
        </w:rPr>
        <w:t xml:space="preserve"> 442-У (регистрационный </w:t>
      </w:r>
      <w:r w:rsidRPr="00BF265C">
        <w:rPr>
          <w:sz w:val="24"/>
          <w:szCs w:val="24"/>
          <w:lang w:val="en-US"/>
        </w:rPr>
        <w:t>N</w:t>
      </w:r>
      <w:r w:rsidRPr="00BF265C">
        <w:rPr>
          <w:sz w:val="24"/>
          <w:szCs w:val="24"/>
        </w:rPr>
        <w:t xml:space="preserve"> 5600 от 19 апреля 2011 года) </w:t>
      </w:r>
      <w:r w:rsidR="00CA73BC">
        <w:rPr>
          <w:sz w:val="24"/>
          <w:szCs w:val="24"/>
        </w:rPr>
        <w:br/>
      </w:r>
      <w:r w:rsidRPr="00BF265C">
        <w:rPr>
          <w:sz w:val="24"/>
          <w:szCs w:val="24"/>
        </w:rPr>
        <w:t xml:space="preserve">(САЗ 11-16); от 14 марта 2012 года </w:t>
      </w:r>
      <w:r w:rsidRPr="00BF265C">
        <w:rPr>
          <w:sz w:val="24"/>
          <w:szCs w:val="24"/>
          <w:lang w:val="en-US"/>
        </w:rPr>
        <w:t>N </w:t>
      </w:r>
      <w:r w:rsidRPr="00BF265C">
        <w:rPr>
          <w:sz w:val="24"/>
          <w:szCs w:val="24"/>
        </w:rPr>
        <w:t>523-У (регистрационный N 5953 от 27 марта 2012 года) (газета «Приднестровье» N 61 (4381) от 29 марта 2012 года); от 27 апреля 2012 года N 547-У (регистрационный N 6037 от 22 июня 2012 года) (САЗ 12-26); от 26 сентября 2013 года N 718-У (регистрационный N</w:t>
      </w:r>
      <w:r w:rsidR="00CD5532" w:rsidRPr="00BF265C">
        <w:rPr>
          <w:sz w:val="24"/>
          <w:szCs w:val="24"/>
        </w:rPr>
        <w:t> </w:t>
      </w:r>
      <w:r w:rsidRPr="00BF265C">
        <w:rPr>
          <w:sz w:val="24"/>
          <w:szCs w:val="24"/>
        </w:rPr>
        <w:t>6594 от 1 ноября 2013 года) (САЗ 13-43); от 11 декабря 2014 года N 820-У (регистрационный N 6982 от 19 декабря 2014 года) (САЗ 14-51); от 19 июня 2015 года N</w:t>
      </w:r>
      <w:r w:rsidR="00CD5532" w:rsidRPr="00BF265C">
        <w:rPr>
          <w:sz w:val="24"/>
          <w:szCs w:val="24"/>
        </w:rPr>
        <w:t> </w:t>
      </w:r>
      <w:r w:rsidRPr="00BF265C">
        <w:rPr>
          <w:sz w:val="24"/>
          <w:szCs w:val="24"/>
        </w:rPr>
        <w:t>853-У (регистрационный N 7166 от 7 июля 2015 года)  (САЗ 15-28); от 21 сентября 2015 года N 868-У (регистрационный N 7257 от 19 октября 2015 года) (САЗ 15-43); от 21 октября 2015 года N 872-У (регистрационный N 7286 от 20 ноября 2015 года) (САЗ 15-47); от 9 января 2017 года N 950-У (регистрационный N 7716 от 13 января 2017 года) (</w:t>
      </w:r>
      <w:hyperlink r:id="rId10" w:anchor="дветысячисемнадцать3" w:history="1">
        <w:r w:rsidRPr="00BF265C">
          <w:rPr>
            <w:sz w:val="24"/>
            <w:szCs w:val="24"/>
          </w:rPr>
          <w:t>САЗ 17-3</w:t>
        </w:r>
      </w:hyperlink>
      <w:r w:rsidRPr="00BF265C">
        <w:rPr>
          <w:sz w:val="24"/>
          <w:szCs w:val="24"/>
        </w:rPr>
        <w:t>); от 11 июня 2018 года N 1082-У (регистрационный N 8331 от 11 июля 2018 года)</w:t>
      </w:r>
      <w:r w:rsidR="00BE5F7C">
        <w:rPr>
          <w:sz w:val="24"/>
          <w:szCs w:val="24"/>
        </w:rPr>
        <w:t xml:space="preserve"> (САЗ 18-28)</w:t>
      </w:r>
      <w:r w:rsidRPr="00BF265C">
        <w:rPr>
          <w:sz w:val="24"/>
          <w:szCs w:val="24"/>
        </w:rPr>
        <w:t>, следующие изменения и дополнения:</w:t>
      </w:r>
    </w:p>
    <w:p w:rsidR="00136D76" w:rsidRPr="00BF265C" w:rsidRDefault="00136D76" w:rsidP="00136D76">
      <w:pPr>
        <w:ind w:firstLine="851"/>
        <w:jc w:val="both"/>
        <w:rPr>
          <w:sz w:val="24"/>
          <w:szCs w:val="24"/>
        </w:rPr>
      </w:pPr>
      <w:r w:rsidRPr="00BF265C">
        <w:rPr>
          <w:sz w:val="24"/>
          <w:szCs w:val="24"/>
        </w:rPr>
        <w:t xml:space="preserve">а) подпункт б) </w:t>
      </w:r>
      <w:r w:rsidR="005207C2" w:rsidRPr="00BF265C">
        <w:rPr>
          <w:sz w:val="24"/>
          <w:szCs w:val="24"/>
        </w:rPr>
        <w:t xml:space="preserve">пункта </w:t>
      </w:r>
      <w:r w:rsidRPr="00BF265C">
        <w:rPr>
          <w:sz w:val="24"/>
          <w:szCs w:val="24"/>
        </w:rPr>
        <w:t>29 Инструкции изложить в следующей редакции:</w:t>
      </w:r>
    </w:p>
    <w:p w:rsidR="00136D76" w:rsidRPr="00BF265C" w:rsidRDefault="00136D76" w:rsidP="00136D76">
      <w:pPr>
        <w:ind w:firstLine="851"/>
        <w:jc w:val="both"/>
        <w:rPr>
          <w:sz w:val="24"/>
          <w:szCs w:val="24"/>
        </w:rPr>
      </w:pPr>
      <w:r w:rsidRPr="00BF265C">
        <w:rPr>
          <w:sz w:val="24"/>
          <w:szCs w:val="24"/>
        </w:rPr>
        <w:t xml:space="preserve">«б) копии договоров и иных документов, являющихся в установленном порядке основанием для осуществления платежей в иностранной валюте </w:t>
      </w:r>
      <w:r w:rsidR="00E7775D">
        <w:rPr>
          <w:sz w:val="24"/>
          <w:szCs w:val="24"/>
        </w:rPr>
        <w:t xml:space="preserve">в </w:t>
      </w:r>
      <w:r w:rsidRPr="00BF265C">
        <w:rPr>
          <w:sz w:val="24"/>
          <w:szCs w:val="24"/>
        </w:rPr>
        <w:t>пользу нерезидентов с банковским кодом контракта с изменениями и дополнениями к ним;»;</w:t>
      </w:r>
    </w:p>
    <w:p w:rsidR="00136D76" w:rsidRPr="00BF265C" w:rsidRDefault="00136D76" w:rsidP="00136D76">
      <w:pPr>
        <w:ind w:firstLine="851"/>
        <w:jc w:val="both"/>
        <w:rPr>
          <w:sz w:val="24"/>
          <w:szCs w:val="24"/>
        </w:rPr>
      </w:pPr>
    </w:p>
    <w:p w:rsidR="00136D76" w:rsidRPr="00BF265C" w:rsidRDefault="00136D76" w:rsidP="00136D76">
      <w:pPr>
        <w:ind w:firstLine="851"/>
        <w:jc w:val="both"/>
        <w:rPr>
          <w:sz w:val="24"/>
          <w:szCs w:val="24"/>
        </w:rPr>
      </w:pPr>
      <w:r w:rsidRPr="00BF265C">
        <w:rPr>
          <w:sz w:val="24"/>
          <w:szCs w:val="24"/>
        </w:rPr>
        <w:t xml:space="preserve">б) подпункт е) </w:t>
      </w:r>
      <w:r w:rsidR="005207C2" w:rsidRPr="00BF265C">
        <w:rPr>
          <w:sz w:val="24"/>
          <w:szCs w:val="24"/>
        </w:rPr>
        <w:t xml:space="preserve">пункта </w:t>
      </w:r>
      <w:r w:rsidRPr="00BF265C">
        <w:rPr>
          <w:sz w:val="24"/>
          <w:szCs w:val="24"/>
        </w:rPr>
        <w:t>29 Инструкции изложить в следующей редакции:</w:t>
      </w:r>
    </w:p>
    <w:p w:rsidR="00136D76" w:rsidRPr="00BF265C" w:rsidRDefault="00136D76" w:rsidP="00136D76">
      <w:pPr>
        <w:ind w:firstLine="851"/>
        <w:jc w:val="both"/>
        <w:rPr>
          <w:sz w:val="24"/>
          <w:szCs w:val="24"/>
        </w:rPr>
      </w:pPr>
      <w:r w:rsidRPr="00BF265C">
        <w:rPr>
          <w:sz w:val="24"/>
          <w:szCs w:val="24"/>
        </w:rPr>
        <w:t>«е) опись приема-передачи документов валютного контроля при смене банка импортера;»;</w:t>
      </w:r>
    </w:p>
    <w:p w:rsidR="00136D76" w:rsidRPr="00BF265C" w:rsidRDefault="00136D76" w:rsidP="00136D76">
      <w:pPr>
        <w:ind w:firstLine="851"/>
        <w:jc w:val="both"/>
        <w:rPr>
          <w:sz w:val="24"/>
          <w:szCs w:val="24"/>
        </w:rPr>
      </w:pPr>
    </w:p>
    <w:p w:rsidR="007C35AB" w:rsidRPr="00CA73BC" w:rsidRDefault="00136D76" w:rsidP="007C35AB">
      <w:pPr>
        <w:ind w:firstLine="851"/>
        <w:jc w:val="both"/>
        <w:rPr>
          <w:sz w:val="24"/>
          <w:szCs w:val="24"/>
        </w:rPr>
      </w:pPr>
      <w:r w:rsidRPr="00CA73BC">
        <w:rPr>
          <w:sz w:val="24"/>
          <w:szCs w:val="24"/>
        </w:rPr>
        <w:t xml:space="preserve">в) </w:t>
      </w:r>
      <w:r w:rsidR="007C35AB" w:rsidRPr="00CA73BC">
        <w:rPr>
          <w:sz w:val="24"/>
          <w:szCs w:val="24"/>
        </w:rPr>
        <w:t>первое предложение пункта 34 Инструкции изложить в следующей редакции:</w:t>
      </w:r>
    </w:p>
    <w:p w:rsidR="007C35AB" w:rsidRPr="00CA73BC" w:rsidRDefault="007C35AB" w:rsidP="00136D76">
      <w:pPr>
        <w:ind w:firstLine="851"/>
        <w:jc w:val="both"/>
        <w:rPr>
          <w:sz w:val="24"/>
          <w:szCs w:val="24"/>
        </w:rPr>
      </w:pPr>
      <w:r w:rsidRPr="00CA73BC">
        <w:rPr>
          <w:color w:val="000000"/>
          <w:sz w:val="24"/>
          <w:szCs w:val="24"/>
        </w:rPr>
        <w:t>«34. Таможенные декларации должны быть оформлены в соответствии с таможенн</w:t>
      </w:r>
      <w:r w:rsidR="00CA73BC" w:rsidRPr="00CA73BC">
        <w:rPr>
          <w:color w:val="000000"/>
          <w:sz w:val="24"/>
          <w:szCs w:val="24"/>
        </w:rPr>
        <w:t>ой</w:t>
      </w:r>
      <w:r w:rsidRPr="00CA73BC">
        <w:rPr>
          <w:color w:val="000000"/>
          <w:sz w:val="24"/>
          <w:szCs w:val="24"/>
        </w:rPr>
        <w:t xml:space="preserve"> процедур</w:t>
      </w:r>
      <w:r w:rsidR="00CA73BC" w:rsidRPr="00CA73BC">
        <w:rPr>
          <w:color w:val="000000"/>
          <w:sz w:val="24"/>
          <w:szCs w:val="24"/>
        </w:rPr>
        <w:t>ой</w:t>
      </w:r>
      <w:r w:rsidRPr="00CA73BC">
        <w:rPr>
          <w:color w:val="000000"/>
          <w:sz w:val="24"/>
          <w:szCs w:val="24"/>
        </w:rPr>
        <w:t xml:space="preserve"> выпуск для внутреннего потребления (ИМ-40), реимпорт (ИМ-41), </w:t>
      </w:r>
      <w:r w:rsidRPr="00CA73BC">
        <w:rPr>
          <w:sz w:val="24"/>
          <w:szCs w:val="24"/>
        </w:rPr>
        <w:t>свободн</w:t>
      </w:r>
      <w:r w:rsidR="00CA73BC" w:rsidRPr="00CA73BC">
        <w:rPr>
          <w:sz w:val="24"/>
          <w:szCs w:val="24"/>
        </w:rPr>
        <w:t>ая</w:t>
      </w:r>
      <w:r w:rsidRPr="00CA73BC">
        <w:rPr>
          <w:sz w:val="24"/>
          <w:szCs w:val="24"/>
        </w:rPr>
        <w:t xml:space="preserve"> таможенн</w:t>
      </w:r>
      <w:r w:rsidR="00CA73BC" w:rsidRPr="00CA73BC">
        <w:rPr>
          <w:sz w:val="24"/>
          <w:szCs w:val="24"/>
        </w:rPr>
        <w:t>ая</w:t>
      </w:r>
      <w:r w:rsidRPr="00CA73BC">
        <w:rPr>
          <w:sz w:val="24"/>
          <w:szCs w:val="24"/>
        </w:rPr>
        <w:t xml:space="preserve"> зон</w:t>
      </w:r>
      <w:r w:rsidR="00CA73BC" w:rsidRPr="00CA73BC">
        <w:rPr>
          <w:sz w:val="24"/>
          <w:szCs w:val="24"/>
        </w:rPr>
        <w:t>а</w:t>
      </w:r>
      <w:r w:rsidRPr="00CA73BC">
        <w:rPr>
          <w:sz w:val="24"/>
          <w:szCs w:val="24"/>
        </w:rPr>
        <w:t xml:space="preserve"> (ИМ-71), </w:t>
      </w:r>
      <w:r w:rsidRPr="00CA73BC">
        <w:rPr>
          <w:color w:val="000000"/>
          <w:sz w:val="24"/>
          <w:szCs w:val="24"/>
        </w:rPr>
        <w:t>беспошлинн</w:t>
      </w:r>
      <w:r w:rsidR="00CA73BC" w:rsidRPr="00CA73BC">
        <w:rPr>
          <w:color w:val="000000"/>
          <w:sz w:val="24"/>
          <w:szCs w:val="24"/>
        </w:rPr>
        <w:t>ая торговля</w:t>
      </w:r>
      <w:r w:rsidRPr="00CA73BC">
        <w:rPr>
          <w:color w:val="000000"/>
          <w:sz w:val="24"/>
          <w:szCs w:val="24"/>
        </w:rPr>
        <w:t xml:space="preserve"> (ИМ-72), </w:t>
      </w:r>
      <w:r w:rsidRPr="00CA73BC">
        <w:rPr>
          <w:sz w:val="24"/>
          <w:szCs w:val="24"/>
        </w:rPr>
        <w:t>свободн</w:t>
      </w:r>
      <w:r w:rsidR="00CA73BC" w:rsidRPr="00CA73BC">
        <w:rPr>
          <w:sz w:val="24"/>
          <w:szCs w:val="24"/>
        </w:rPr>
        <w:t>ый склад</w:t>
      </w:r>
      <w:r w:rsidRPr="00CA73BC">
        <w:rPr>
          <w:sz w:val="24"/>
          <w:szCs w:val="24"/>
        </w:rPr>
        <w:t xml:space="preserve"> (ИМ-73), таможенн</w:t>
      </w:r>
      <w:r w:rsidR="00CA73BC" w:rsidRPr="00CA73BC">
        <w:rPr>
          <w:sz w:val="24"/>
          <w:szCs w:val="24"/>
        </w:rPr>
        <w:t>ый</w:t>
      </w:r>
      <w:r w:rsidRPr="00CA73BC">
        <w:rPr>
          <w:sz w:val="24"/>
          <w:szCs w:val="24"/>
        </w:rPr>
        <w:t xml:space="preserve"> склад (ИМ-74), </w:t>
      </w:r>
      <w:r w:rsidRPr="00CA73BC">
        <w:rPr>
          <w:color w:val="000000"/>
          <w:sz w:val="24"/>
          <w:szCs w:val="24"/>
        </w:rPr>
        <w:t>отказ в пользу государства (ИМ-75), уничтожени</w:t>
      </w:r>
      <w:r w:rsidR="00CA73BC" w:rsidRPr="00CA73BC">
        <w:rPr>
          <w:color w:val="000000"/>
          <w:sz w:val="24"/>
          <w:szCs w:val="24"/>
        </w:rPr>
        <w:t>е</w:t>
      </w:r>
      <w:r w:rsidRPr="00CA73BC">
        <w:rPr>
          <w:color w:val="000000"/>
          <w:sz w:val="24"/>
          <w:szCs w:val="24"/>
        </w:rPr>
        <w:t xml:space="preserve"> (ИМ-76).»;</w:t>
      </w:r>
    </w:p>
    <w:p w:rsidR="007C35AB" w:rsidRPr="00CA73BC" w:rsidRDefault="007C35AB" w:rsidP="00136D76">
      <w:pPr>
        <w:ind w:firstLine="851"/>
        <w:jc w:val="both"/>
        <w:rPr>
          <w:sz w:val="24"/>
          <w:szCs w:val="24"/>
        </w:rPr>
      </w:pPr>
    </w:p>
    <w:p w:rsidR="00CA73BC" w:rsidRPr="00AC4F14" w:rsidRDefault="007C35AB" w:rsidP="00452AB6">
      <w:pPr>
        <w:ind w:firstLine="851"/>
        <w:jc w:val="both"/>
        <w:rPr>
          <w:sz w:val="24"/>
          <w:szCs w:val="24"/>
        </w:rPr>
      </w:pPr>
      <w:r w:rsidRPr="00AC4F14">
        <w:rPr>
          <w:sz w:val="24"/>
          <w:szCs w:val="24"/>
        </w:rPr>
        <w:t xml:space="preserve">г) </w:t>
      </w:r>
      <w:r w:rsidR="00CA73BC" w:rsidRPr="00AC4F14">
        <w:rPr>
          <w:sz w:val="24"/>
          <w:szCs w:val="24"/>
        </w:rPr>
        <w:t xml:space="preserve">дополнить Инструкцию </w:t>
      </w:r>
      <w:r w:rsidR="00EB3362" w:rsidRPr="00AC4F14">
        <w:rPr>
          <w:sz w:val="24"/>
          <w:szCs w:val="24"/>
        </w:rPr>
        <w:t xml:space="preserve">новым </w:t>
      </w:r>
      <w:r w:rsidR="00CA73BC" w:rsidRPr="00AC4F14">
        <w:rPr>
          <w:sz w:val="24"/>
          <w:szCs w:val="24"/>
        </w:rPr>
        <w:t>пунктом 34-1 следующего содержания:</w:t>
      </w:r>
    </w:p>
    <w:p w:rsidR="00EA2293" w:rsidRPr="00526F42" w:rsidRDefault="00CA73BC" w:rsidP="00452AB6">
      <w:pPr>
        <w:keepNext/>
        <w:ind w:firstLine="851"/>
        <w:jc w:val="both"/>
        <w:outlineLvl w:val="0"/>
        <w:rPr>
          <w:sz w:val="24"/>
          <w:szCs w:val="24"/>
        </w:rPr>
      </w:pPr>
      <w:r w:rsidRPr="00897773">
        <w:rPr>
          <w:sz w:val="24"/>
          <w:szCs w:val="24"/>
        </w:rPr>
        <w:t>«</w:t>
      </w:r>
      <w:r w:rsidR="00526F42" w:rsidRPr="00897773">
        <w:rPr>
          <w:sz w:val="24"/>
          <w:szCs w:val="24"/>
        </w:rPr>
        <w:t>34-1. Таможенная декларация, оформленная в соответствии с таможенной процедурой выпуск для внутреннего потребления (ИМ-40), реимпорт (ИМ-41), беспошлинной торговли (ИМ-72), отказ в пользу государства (ИМ-75), уничтожение (ИМ-76) не может быть использована для закрытия карточки платежа, если предшествующей таможенной процедурой в ней указаны свободная таможенная зона (ИМ-71), свободный склад (ИМ-73), таможенный склад (ИМ-74). Исключение составляет ситуация, когда форма расчетов в таможенной декларации, оформленной в соответствии с предшествующей таможенной процедурой (свободная таможенная зона (ИМ-71), свободный склад (ИМ-73), таможенный склад (ИМ-74)), не предусматривает осуществление расчетов путем перечисления денежных средств. Тогда для закрытия карточки платежа импортер должен представить в банк импортера таможенную декларацию, оформленную в соответствии с таможенной процедурой выпуск для внутреннего потребления (ИМ-40), реимпорт (ИМ-41), беспошлинной торговли (ИМ-72), отказ в пользу государства (ИМ-75), уничтожение (ИМ-76) и предшествующую таможенную декларацию, оформленную в соответствии с таможенной процедурой свободная таможенная зона (ИМ-71), свободный склад (ИМ-73), таможенный склад (ИМ-74)</w:t>
      </w:r>
      <w:r w:rsidR="005E0C6C" w:rsidRPr="00897773">
        <w:rPr>
          <w:sz w:val="24"/>
          <w:szCs w:val="24"/>
        </w:rPr>
        <w:t>.</w:t>
      </w:r>
      <w:r w:rsidR="003C6535" w:rsidRPr="00897773">
        <w:rPr>
          <w:sz w:val="24"/>
          <w:szCs w:val="24"/>
        </w:rPr>
        <w:t>»;</w:t>
      </w:r>
    </w:p>
    <w:p w:rsidR="003C6535" w:rsidRPr="000D1008" w:rsidRDefault="003C6535" w:rsidP="00452AB6">
      <w:pPr>
        <w:ind w:firstLine="851"/>
        <w:jc w:val="both"/>
        <w:rPr>
          <w:sz w:val="24"/>
          <w:szCs w:val="24"/>
        </w:rPr>
      </w:pPr>
    </w:p>
    <w:p w:rsidR="00136D76" w:rsidRPr="00BF265C" w:rsidRDefault="00CA73BC" w:rsidP="00136D76">
      <w:pPr>
        <w:ind w:firstLine="851"/>
        <w:jc w:val="both"/>
        <w:rPr>
          <w:sz w:val="24"/>
          <w:szCs w:val="24"/>
        </w:rPr>
      </w:pPr>
      <w:r w:rsidRPr="00BF265C">
        <w:rPr>
          <w:sz w:val="24"/>
          <w:szCs w:val="24"/>
        </w:rPr>
        <w:t xml:space="preserve">д) </w:t>
      </w:r>
      <w:r w:rsidR="00136D76" w:rsidRPr="00BF265C">
        <w:rPr>
          <w:sz w:val="24"/>
          <w:szCs w:val="24"/>
        </w:rPr>
        <w:t xml:space="preserve">часть вторую </w:t>
      </w:r>
      <w:r w:rsidR="005207C2" w:rsidRPr="00BF265C">
        <w:rPr>
          <w:sz w:val="24"/>
          <w:szCs w:val="24"/>
        </w:rPr>
        <w:t xml:space="preserve">пункта </w:t>
      </w:r>
      <w:r w:rsidR="00136D76" w:rsidRPr="00BF265C">
        <w:rPr>
          <w:sz w:val="24"/>
          <w:szCs w:val="24"/>
        </w:rPr>
        <w:t>46 Инструкции изложить в следующей редакции:</w:t>
      </w:r>
    </w:p>
    <w:p w:rsidR="00136D76" w:rsidRPr="00BF265C" w:rsidRDefault="00136D76" w:rsidP="00136D76">
      <w:pPr>
        <w:ind w:firstLine="851"/>
        <w:jc w:val="both"/>
        <w:rPr>
          <w:sz w:val="24"/>
          <w:szCs w:val="24"/>
        </w:rPr>
      </w:pPr>
      <w:r w:rsidRPr="00BF265C">
        <w:rPr>
          <w:sz w:val="24"/>
          <w:szCs w:val="24"/>
        </w:rPr>
        <w:t>«При обнаружении ошибочных данных в реквизитах импортера или контракта, изменения производятся Приднестровским республиканским банком на основании электронного документа, составленного банком импортера в соответствии с порядком электронного документооборота.»;</w:t>
      </w:r>
    </w:p>
    <w:p w:rsidR="00136D76" w:rsidRPr="00BF265C" w:rsidRDefault="00136D76" w:rsidP="00136D76">
      <w:pPr>
        <w:ind w:firstLine="851"/>
        <w:jc w:val="both"/>
        <w:rPr>
          <w:sz w:val="24"/>
          <w:szCs w:val="24"/>
        </w:rPr>
      </w:pPr>
    </w:p>
    <w:p w:rsidR="00136D76" w:rsidRPr="00BF265C" w:rsidRDefault="00CA73BC" w:rsidP="00136D76">
      <w:pPr>
        <w:ind w:firstLine="851"/>
        <w:jc w:val="both"/>
        <w:rPr>
          <w:sz w:val="24"/>
          <w:szCs w:val="24"/>
        </w:rPr>
      </w:pPr>
      <w:r>
        <w:rPr>
          <w:sz w:val="24"/>
          <w:szCs w:val="24"/>
        </w:rPr>
        <w:t>е</w:t>
      </w:r>
      <w:r w:rsidR="007C35AB" w:rsidRPr="00CA73BC">
        <w:rPr>
          <w:sz w:val="24"/>
          <w:szCs w:val="24"/>
        </w:rPr>
        <w:t xml:space="preserve">) </w:t>
      </w:r>
      <w:r w:rsidR="00136D76" w:rsidRPr="00CA73BC">
        <w:rPr>
          <w:sz w:val="24"/>
          <w:szCs w:val="24"/>
        </w:rPr>
        <w:t>часть</w:t>
      </w:r>
      <w:r w:rsidR="00136D76" w:rsidRPr="00BF265C">
        <w:rPr>
          <w:sz w:val="24"/>
          <w:szCs w:val="24"/>
        </w:rPr>
        <w:t xml:space="preserve"> третью </w:t>
      </w:r>
      <w:r w:rsidR="005207C2" w:rsidRPr="00BF265C">
        <w:rPr>
          <w:sz w:val="24"/>
          <w:szCs w:val="24"/>
        </w:rPr>
        <w:t>пункт</w:t>
      </w:r>
      <w:r w:rsidR="007C35AB">
        <w:rPr>
          <w:sz w:val="24"/>
          <w:szCs w:val="24"/>
        </w:rPr>
        <w:t>а</w:t>
      </w:r>
      <w:r w:rsidR="00136D76" w:rsidRPr="00BF265C">
        <w:rPr>
          <w:sz w:val="24"/>
          <w:szCs w:val="24"/>
        </w:rPr>
        <w:t>47 Инструкции изложить в следующей редакции:</w:t>
      </w:r>
    </w:p>
    <w:p w:rsidR="00136D76" w:rsidRPr="00BF265C" w:rsidRDefault="00136D76" w:rsidP="00136D76">
      <w:pPr>
        <w:ind w:firstLine="851"/>
        <w:jc w:val="both"/>
        <w:rPr>
          <w:sz w:val="24"/>
          <w:szCs w:val="24"/>
        </w:rPr>
      </w:pPr>
      <w:r w:rsidRPr="00BF265C">
        <w:rPr>
          <w:sz w:val="24"/>
          <w:szCs w:val="24"/>
        </w:rPr>
        <w:t>«В течение трех рабочих дней после получения информационного письма Приднестровский республиканский банк направляет банку импортера подтверждение его получения.»;</w:t>
      </w:r>
    </w:p>
    <w:p w:rsidR="00136D76" w:rsidRPr="00BF265C" w:rsidRDefault="00136D76" w:rsidP="00136D76">
      <w:pPr>
        <w:ind w:firstLine="851"/>
        <w:jc w:val="both"/>
        <w:rPr>
          <w:sz w:val="24"/>
          <w:szCs w:val="24"/>
        </w:rPr>
      </w:pPr>
    </w:p>
    <w:p w:rsidR="00136D76" w:rsidRPr="00BF265C" w:rsidRDefault="00CA73BC" w:rsidP="00136D76">
      <w:pPr>
        <w:ind w:firstLine="851"/>
        <w:jc w:val="both"/>
        <w:rPr>
          <w:sz w:val="24"/>
          <w:szCs w:val="24"/>
        </w:rPr>
      </w:pPr>
      <w:r>
        <w:rPr>
          <w:sz w:val="24"/>
          <w:szCs w:val="24"/>
        </w:rPr>
        <w:t>ж</w:t>
      </w:r>
      <w:r w:rsidR="007C35AB" w:rsidRPr="00BF265C">
        <w:rPr>
          <w:sz w:val="24"/>
          <w:szCs w:val="24"/>
        </w:rPr>
        <w:t xml:space="preserve">) </w:t>
      </w:r>
      <w:r w:rsidR="00136D76" w:rsidRPr="00BF265C">
        <w:rPr>
          <w:sz w:val="24"/>
          <w:szCs w:val="24"/>
        </w:rPr>
        <w:t xml:space="preserve">часть четвертую </w:t>
      </w:r>
      <w:r w:rsidR="005207C2" w:rsidRPr="00BF265C">
        <w:rPr>
          <w:sz w:val="24"/>
          <w:szCs w:val="24"/>
        </w:rPr>
        <w:t>пункт</w:t>
      </w:r>
      <w:r w:rsidR="007C35AB">
        <w:rPr>
          <w:sz w:val="24"/>
          <w:szCs w:val="24"/>
        </w:rPr>
        <w:t>а</w:t>
      </w:r>
      <w:r w:rsidR="00136D76" w:rsidRPr="00BF265C">
        <w:rPr>
          <w:sz w:val="24"/>
          <w:szCs w:val="24"/>
        </w:rPr>
        <w:t>47 Инструкции изложить в следующей редакции:</w:t>
      </w:r>
    </w:p>
    <w:p w:rsidR="006C61A5" w:rsidRPr="00BF265C" w:rsidRDefault="00136D76" w:rsidP="006C61A5">
      <w:pPr>
        <w:ind w:firstLine="851"/>
        <w:jc w:val="both"/>
        <w:rPr>
          <w:sz w:val="24"/>
          <w:szCs w:val="24"/>
        </w:rPr>
      </w:pPr>
      <w:r w:rsidRPr="00BF265C">
        <w:rPr>
          <w:sz w:val="24"/>
          <w:szCs w:val="24"/>
        </w:rPr>
        <w:t>«</w:t>
      </w:r>
      <w:r w:rsidR="006C61A5" w:rsidRPr="00BF265C">
        <w:rPr>
          <w:sz w:val="24"/>
          <w:szCs w:val="24"/>
        </w:rPr>
        <w:t>В случае перехода импортера на обслуживание в другой банк в течение трех рабочих дней после получения подтверждения банк импортера, в котором закрывается текущий счет в рублях Приднестровской Молдавской Республики</w:t>
      </w:r>
      <w:r w:rsidR="00E7775D">
        <w:rPr>
          <w:sz w:val="24"/>
          <w:szCs w:val="24"/>
        </w:rPr>
        <w:t>,</w:t>
      </w:r>
      <w:r w:rsidR="006C61A5" w:rsidRPr="00BF265C">
        <w:rPr>
          <w:sz w:val="24"/>
          <w:szCs w:val="24"/>
        </w:rPr>
        <w:t xml:space="preserve"> передает принимающему банку по </w:t>
      </w:r>
      <w:r w:rsidR="00E7775D">
        <w:rPr>
          <w:sz w:val="24"/>
          <w:szCs w:val="24"/>
        </w:rPr>
        <w:t>о</w:t>
      </w:r>
      <w:r w:rsidR="006C61A5" w:rsidRPr="00BF265C">
        <w:rPr>
          <w:sz w:val="24"/>
          <w:szCs w:val="24"/>
        </w:rPr>
        <w:t>писи приема-передачи следующие документы:</w:t>
      </w:r>
    </w:p>
    <w:p w:rsidR="006C61A5" w:rsidRPr="00BF265C" w:rsidRDefault="006C61A5" w:rsidP="006C61A5">
      <w:pPr>
        <w:ind w:firstLine="851"/>
        <w:jc w:val="both"/>
        <w:rPr>
          <w:sz w:val="24"/>
          <w:szCs w:val="24"/>
        </w:rPr>
      </w:pPr>
      <w:r w:rsidRPr="00BF265C">
        <w:rPr>
          <w:sz w:val="24"/>
          <w:szCs w:val="24"/>
        </w:rPr>
        <w:t>а) копию информационного письма о присвоенном идентификационном номере субъекта хозяйственной деятельности;</w:t>
      </w:r>
    </w:p>
    <w:p w:rsidR="006C61A5" w:rsidRPr="00BF265C" w:rsidRDefault="006C61A5" w:rsidP="006C61A5">
      <w:pPr>
        <w:ind w:firstLine="851"/>
        <w:jc w:val="both"/>
        <w:rPr>
          <w:sz w:val="24"/>
          <w:szCs w:val="24"/>
        </w:rPr>
      </w:pPr>
      <w:r w:rsidRPr="00BF265C">
        <w:rPr>
          <w:sz w:val="24"/>
          <w:szCs w:val="24"/>
        </w:rPr>
        <w:t>б) все «незакрытые» карточки платежа импортера в электронном виде и на бумажном носителе, заверенном подписью ответственного лица банка и печатью (штампом), установленной для этих целей распорядительным документом банка;</w:t>
      </w:r>
    </w:p>
    <w:p w:rsidR="006C61A5" w:rsidRPr="00BF265C" w:rsidRDefault="006C61A5" w:rsidP="006C61A5">
      <w:pPr>
        <w:ind w:firstLine="851"/>
        <w:jc w:val="both"/>
        <w:rPr>
          <w:sz w:val="24"/>
          <w:szCs w:val="24"/>
        </w:rPr>
      </w:pPr>
      <w:r w:rsidRPr="00BF265C">
        <w:rPr>
          <w:sz w:val="24"/>
          <w:szCs w:val="24"/>
        </w:rPr>
        <w:t>в) копии всех договоров (контрактов) и иных документов, являющихся в установленном порядке основанием для осуществления платежей в иностранной валюте пользу нерезидентов, которые относятся к передаваемым карточкам платежа импортера (копии этих документов делаются с экземпляров банка импортера, при этом один экземпляр остается в банке импортера)</w:t>
      </w:r>
      <w:r w:rsidR="00E56BEF">
        <w:rPr>
          <w:sz w:val="24"/>
          <w:szCs w:val="24"/>
        </w:rPr>
        <w:t>;</w:t>
      </w:r>
    </w:p>
    <w:p w:rsidR="006C61A5" w:rsidRPr="00BF265C" w:rsidRDefault="006C61A5" w:rsidP="006C61A5">
      <w:pPr>
        <w:ind w:firstLine="851"/>
        <w:jc w:val="both"/>
        <w:rPr>
          <w:sz w:val="24"/>
          <w:szCs w:val="24"/>
        </w:rPr>
      </w:pPr>
      <w:r w:rsidRPr="00BF265C">
        <w:rPr>
          <w:sz w:val="24"/>
          <w:szCs w:val="24"/>
        </w:rPr>
        <w:lastRenderedPageBreak/>
        <w:t xml:space="preserve">г) информацию о внешнеэкономических договорах (контрактах) и иных документах, являющихся в установленном порядке основанием для осуществления платежей в иностранной валюте </w:t>
      </w:r>
      <w:r w:rsidR="00E7775D">
        <w:rPr>
          <w:sz w:val="24"/>
          <w:szCs w:val="24"/>
        </w:rPr>
        <w:t xml:space="preserve">в </w:t>
      </w:r>
      <w:r w:rsidRPr="00BF265C">
        <w:rPr>
          <w:sz w:val="24"/>
          <w:szCs w:val="24"/>
        </w:rPr>
        <w:t>пользу нерезидентов (с указанием банковского кода контракта), включая информацию о суммах, проведенных по ним платежей (с указанием порядкового номера платежа) и о документах, на основании которых были «закрыты» карточки платежа (с указанием номера документа, его даты, суммы, используемой для закрытия карточки платежа, в том числе и неиспользованного остатка);</w:t>
      </w:r>
    </w:p>
    <w:p w:rsidR="006C61A5" w:rsidRPr="00BF265C" w:rsidRDefault="006C61A5" w:rsidP="006C61A5">
      <w:pPr>
        <w:ind w:firstLine="851"/>
        <w:jc w:val="both"/>
        <w:rPr>
          <w:sz w:val="24"/>
          <w:szCs w:val="24"/>
        </w:rPr>
      </w:pPr>
      <w:r w:rsidRPr="00BF265C">
        <w:rPr>
          <w:sz w:val="24"/>
          <w:szCs w:val="24"/>
        </w:rPr>
        <w:t>д) информацию о задолженности по репатриации  с приложением копий уведомлений;</w:t>
      </w:r>
    </w:p>
    <w:p w:rsidR="006C61A5" w:rsidRPr="00BF265C" w:rsidRDefault="006C61A5" w:rsidP="006C61A5">
      <w:pPr>
        <w:ind w:firstLine="851"/>
        <w:jc w:val="both"/>
        <w:rPr>
          <w:sz w:val="24"/>
          <w:szCs w:val="24"/>
        </w:rPr>
      </w:pPr>
      <w:r w:rsidRPr="00BF265C">
        <w:rPr>
          <w:sz w:val="24"/>
          <w:szCs w:val="24"/>
        </w:rPr>
        <w:t>е) копию письма Приднестровского республиканского банка о подтверждении получения информационного письма банка импортера, закрывающего счет импортера.</w:t>
      </w:r>
      <w:r w:rsidR="00BC5FB0">
        <w:rPr>
          <w:sz w:val="24"/>
          <w:szCs w:val="24"/>
        </w:rPr>
        <w:t>»;</w:t>
      </w:r>
    </w:p>
    <w:p w:rsidR="00136D76" w:rsidRPr="00BF265C" w:rsidRDefault="00136D76" w:rsidP="00136D76">
      <w:pPr>
        <w:ind w:firstLine="851"/>
        <w:jc w:val="both"/>
        <w:rPr>
          <w:sz w:val="24"/>
          <w:szCs w:val="24"/>
        </w:rPr>
      </w:pPr>
    </w:p>
    <w:p w:rsidR="00BC5FB0" w:rsidRDefault="00CA73BC" w:rsidP="00BC5FB0">
      <w:pPr>
        <w:ind w:firstLine="851"/>
        <w:jc w:val="both"/>
        <w:rPr>
          <w:sz w:val="24"/>
          <w:szCs w:val="24"/>
        </w:rPr>
      </w:pPr>
      <w:r>
        <w:rPr>
          <w:sz w:val="24"/>
          <w:szCs w:val="24"/>
        </w:rPr>
        <w:t>з</w:t>
      </w:r>
      <w:r w:rsidR="007C35AB" w:rsidRPr="00BF265C">
        <w:rPr>
          <w:sz w:val="24"/>
          <w:szCs w:val="24"/>
        </w:rPr>
        <w:t>)</w:t>
      </w:r>
      <w:r w:rsidR="00BC5FB0">
        <w:rPr>
          <w:sz w:val="24"/>
          <w:szCs w:val="24"/>
        </w:rPr>
        <w:t>пункт 47 Инструкции дополнить новой частью пятой следующего содержания:</w:t>
      </w:r>
    </w:p>
    <w:p w:rsidR="00BC5FB0" w:rsidRDefault="00BC5FB0" w:rsidP="00BC5FB0">
      <w:pPr>
        <w:ind w:firstLine="851"/>
        <w:jc w:val="both"/>
        <w:rPr>
          <w:sz w:val="24"/>
          <w:szCs w:val="24"/>
        </w:rPr>
      </w:pPr>
      <w:r>
        <w:rPr>
          <w:sz w:val="24"/>
          <w:szCs w:val="24"/>
        </w:rPr>
        <w:t>«</w:t>
      </w:r>
      <w:r w:rsidRPr="00BF265C">
        <w:rPr>
          <w:sz w:val="24"/>
          <w:szCs w:val="24"/>
        </w:rPr>
        <w:t>Процедура перехода импортера на обслуживание в другой банк и порядок передачи карточек платежа в электронном виде осуществляется в соответствии с порядком электронного документооборота.»;</w:t>
      </w:r>
    </w:p>
    <w:p w:rsidR="00CA73BC" w:rsidRDefault="00CA73BC" w:rsidP="00136D76">
      <w:pPr>
        <w:ind w:firstLine="851"/>
        <w:jc w:val="both"/>
        <w:rPr>
          <w:sz w:val="24"/>
          <w:szCs w:val="24"/>
        </w:rPr>
      </w:pPr>
    </w:p>
    <w:p w:rsidR="00BC5FB0" w:rsidRDefault="00CA73BC" w:rsidP="00136D76">
      <w:pPr>
        <w:ind w:firstLine="851"/>
        <w:jc w:val="both"/>
        <w:rPr>
          <w:sz w:val="24"/>
          <w:szCs w:val="24"/>
        </w:rPr>
      </w:pPr>
      <w:r>
        <w:rPr>
          <w:sz w:val="24"/>
          <w:szCs w:val="24"/>
        </w:rPr>
        <w:t>и</w:t>
      </w:r>
      <w:r w:rsidR="007C35AB">
        <w:rPr>
          <w:sz w:val="24"/>
          <w:szCs w:val="24"/>
        </w:rPr>
        <w:t xml:space="preserve">) </w:t>
      </w:r>
      <w:r w:rsidR="00753A1F">
        <w:rPr>
          <w:sz w:val="24"/>
          <w:szCs w:val="24"/>
        </w:rPr>
        <w:t>часть пятую пункта 47 Инструкции считать частью шестой;</w:t>
      </w:r>
    </w:p>
    <w:p w:rsidR="0076712B" w:rsidRDefault="0076712B" w:rsidP="00136D76">
      <w:pPr>
        <w:ind w:firstLine="851"/>
        <w:jc w:val="both"/>
        <w:rPr>
          <w:sz w:val="24"/>
          <w:szCs w:val="24"/>
        </w:rPr>
      </w:pPr>
    </w:p>
    <w:p w:rsidR="00136D76" w:rsidRPr="00BF265C" w:rsidRDefault="00CA73BC" w:rsidP="00136D76">
      <w:pPr>
        <w:ind w:firstLine="851"/>
        <w:jc w:val="both"/>
        <w:rPr>
          <w:sz w:val="24"/>
          <w:szCs w:val="24"/>
        </w:rPr>
      </w:pPr>
      <w:r>
        <w:rPr>
          <w:sz w:val="24"/>
          <w:szCs w:val="24"/>
        </w:rPr>
        <w:t>к</w:t>
      </w:r>
      <w:r w:rsidR="007C35AB">
        <w:rPr>
          <w:sz w:val="24"/>
          <w:szCs w:val="24"/>
        </w:rPr>
        <w:t xml:space="preserve">) </w:t>
      </w:r>
      <w:r w:rsidR="00136D76" w:rsidRPr="00BF265C">
        <w:rPr>
          <w:sz w:val="24"/>
          <w:szCs w:val="24"/>
        </w:rPr>
        <w:t>пункт 48 Инструкции исключить;</w:t>
      </w:r>
    </w:p>
    <w:p w:rsidR="00136D76" w:rsidRPr="00BF265C" w:rsidRDefault="00136D76" w:rsidP="00136D76">
      <w:pPr>
        <w:ind w:firstLine="851"/>
        <w:jc w:val="both"/>
        <w:rPr>
          <w:sz w:val="24"/>
          <w:szCs w:val="24"/>
        </w:rPr>
      </w:pPr>
    </w:p>
    <w:p w:rsidR="00136D76" w:rsidRPr="00BF265C" w:rsidRDefault="00CA73BC" w:rsidP="00136D76">
      <w:pPr>
        <w:ind w:firstLine="851"/>
        <w:jc w:val="both"/>
        <w:rPr>
          <w:sz w:val="24"/>
          <w:szCs w:val="24"/>
        </w:rPr>
      </w:pPr>
      <w:r>
        <w:rPr>
          <w:sz w:val="24"/>
          <w:szCs w:val="24"/>
        </w:rPr>
        <w:t>л</w:t>
      </w:r>
      <w:r w:rsidR="007C35AB">
        <w:rPr>
          <w:sz w:val="24"/>
          <w:szCs w:val="24"/>
        </w:rPr>
        <w:t xml:space="preserve">) </w:t>
      </w:r>
      <w:r w:rsidR="005207C2" w:rsidRPr="00BF265C">
        <w:rPr>
          <w:sz w:val="24"/>
          <w:szCs w:val="24"/>
        </w:rPr>
        <w:t xml:space="preserve">часть </w:t>
      </w:r>
      <w:r w:rsidR="00136D76" w:rsidRPr="00BF265C">
        <w:rPr>
          <w:sz w:val="24"/>
          <w:szCs w:val="24"/>
        </w:rPr>
        <w:t xml:space="preserve">первую </w:t>
      </w:r>
      <w:r w:rsidR="005207C2" w:rsidRPr="00BF265C">
        <w:rPr>
          <w:sz w:val="24"/>
          <w:szCs w:val="24"/>
        </w:rPr>
        <w:t xml:space="preserve">пункта </w:t>
      </w:r>
      <w:r w:rsidR="00136D76" w:rsidRPr="00BF265C">
        <w:rPr>
          <w:sz w:val="24"/>
          <w:szCs w:val="24"/>
        </w:rPr>
        <w:t>50 Инструкции изложить в следующей редакции:</w:t>
      </w:r>
    </w:p>
    <w:p w:rsidR="006C61A5" w:rsidRPr="00BF265C" w:rsidRDefault="00136D76" w:rsidP="006C61A5">
      <w:pPr>
        <w:ind w:firstLine="851"/>
        <w:jc w:val="both"/>
        <w:rPr>
          <w:sz w:val="24"/>
          <w:szCs w:val="24"/>
        </w:rPr>
      </w:pPr>
      <w:r w:rsidRPr="00BF265C">
        <w:rPr>
          <w:sz w:val="24"/>
          <w:szCs w:val="24"/>
        </w:rPr>
        <w:t>«</w:t>
      </w:r>
      <w:r w:rsidR="006C61A5" w:rsidRPr="00BF265C">
        <w:rPr>
          <w:sz w:val="24"/>
          <w:szCs w:val="24"/>
        </w:rPr>
        <w:t xml:space="preserve"> Приднестровский республиканский банк рассматривает обращения импортеров об использовании документов, подтверждающих импорт, по одному внешнеэкономическому договору (контракту) резидента для закрытия карточки платежа по другому внешнеэкономическому договору (контракту) данного резидента на основании следующего пакета документов: </w:t>
      </w:r>
    </w:p>
    <w:p w:rsidR="006C61A5" w:rsidRPr="00BF265C" w:rsidRDefault="006C61A5" w:rsidP="006C61A5">
      <w:pPr>
        <w:ind w:firstLine="851"/>
        <w:jc w:val="both"/>
        <w:rPr>
          <w:sz w:val="24"/>
          <w:szCs w:val="24"/>
        </w:rPr>
      </w:pPr>
      <w:r w:rsidRPr="00BF265C">
        <w:rPr>
          <w:sz w:val="24"/>
          <w:szCs w:val="24"/>
        </w:rPr>
        <w:t xml:space="preserve">а) письма-обоснования с указанием информации о договорах, по которым производится зачет встречных однородных требований, а также сведений о карточках платежа, которые предполагается закрыть; </w:t>
      </w:r>
    </w:p>
    <w:p w:rsidR="006C61A5" w:rsidRPr="00BF265C" w:rsidRDefault="006C61A5" w:rsidP="006C61A5">
      <w:pPr>
        <w:ind w:firstLine="851"/>
        <w:jc w:val="both"/>
        <w:rPr>
          <w:sz w:val="24"/>
          <w:szCs w:val="24"/>
        </w:rPr>
      </w:pPr>
      <w:r w:rsidRPr="00BF265C">
        <w:rPr>
          <w:sz w:val="24"/>
          <w:szCs w:val="24"/>
        </w:rPr>
        <w:t>б) копии внешнеэкономических договоров (контрактов);</w:t>
      </w:r>
    </w:p>
    <w:p w:rsidR="006C61A5" w:rsidRPr="00BF265C" w:rsidRDefault="006C61A5" w:rsidP="006C61A5">
      <w:pPr>
        <w:ind w:firstLine="851"/>
        <w:jc w:val="both"/>
        <w:rPr>
          <w:sz w:val="24"/>
          <w:szCs w:val="24"/>
        </w:rPr>
      </w:pPr>
      <w:r w:rsidRPr="00BF265C">
        <w:rPr>
          <w:sz w:val="24"/>
          <w:szCs w:val="24"/>
        </w:rPr>
        <w:t xml:space="preserve">в) копию соглашения между импортером и контрагентом-нерезидентом о прекращении обязательства по одному из внешнеэкономических договоров, зачетом встречного однородного требования с указанием суммы обязательства; </w:t>
      </w:r>
    </w:p>
    <w:p w:rsidR="006C61A5" w:rsidRPr="00BF265C" w:rsidRDefault="006C61A5" w:rsidP="006C61A5">
      <w:pPr>
        <w:ind w:firstLine="851"/>
        <w:jc w:val="both"/>
        <w:rPr>
          <w:sz w:val="24"/>
          <w:szCs w:val="24"/>
        </w:rPr>
      </w:pPr>
      <w:r w:rsidRPr="00BF265C">
        <w:rPr>
          <w:sz w:val="24"/>
          <w:szCs w:val="24"/>
        </w:rPr>
        <w:t xml:space="preserve">г) копии актов сверки задолженности по внешнеэкономическим договорам (контрактам), по которым происходит зачет взаимных требований, заверенных банком импортера; </w:t>
      </w:r>
    </w:p>
    <w:p w:rsidR="006C61A5" w:rsidRPr="00BF265C" w:rsidRDefault="006C61A5" w:rsidP="006C61A5">
      <w:pPr>
        <w:ind w:firstLine="851"/>
        <w:jc w:val="both"/>
        <w:rPr>
          <w:sz w:val="24"/>
          <w:szCs w:val="24"/>
        </w:rPr>
      </w:pPr>
      <w:r w:rsidRPr="00BF265C">
        <w:rPr>
          <w:sz w:val="24"/>
          <w:szCs w:val="24"/>
        </w:rPr>
        <w:t xml:space="preserve">д) копии документов, подтверждающих импорт товаров, работ, услуг; </w:t>
      </w:r>
    </w:p>
    <w:p w:rsidR="006C61A5" w:rsidRPr="00BF265C" w:rsidRDefault="006C61A5" w:rsidP="006C61A5">
      <w:pPr>
        <w:ind w:firstLine="851"/>
        <w:jc w:val="both"/>
        <w:rPr>
          <w:sz w:val="24"/>
          <w:szCs w:val="24"/>
        </w:rPr>
      </w:pPr>
      <w:r w:rsidRPr="00BF265C">
        <w:rPr>
          <w:sz w:val="24"/>
          <w:szCs w:val="24"/>
        </w:rPr>
        <w:t xml:space="preserve">е) справки из банка импортера о том, что документы, подтверждающие импорт, не использовались для закрытия других карточек платежа; </w:t>
      </w:r>
    </w:p>
    <w:p w:rsidR="006C61A5" w:rsidRPr="00BF265C" w:rsidRDefault="006C61A5" w:rsidP="006C61A5">
      <w:pPr>
        <w:ind w:firstLine="851"/>
        <w:jc w:val="both"/>
        <w:rPr>
          <w:sz w:val="24"/>
          <w:szCs w:val="24"/>
        </w:rPr>
      </w:pPr>
      <w:r w:rsidRPr="00BF265C">
        <w:rPr>
          <w:sz w:val="24"/>
          <w:szCs w:val="24"/>
        </w:rPr>
        <w:t>ж) копии иных документов, по мнению импортера, подтверждающих обоснованность закрытия карточки платежа по одному внешнеэкономическому договору (контракту) документами, подтверждающими импорт по другому внешнеэкономическому договору (контракту).</w:t>
      </w:r>
      <w:r w:rsidR="00753A1F">
        <w:rPr>
          <w:sz w:val="24"/>
          <w:szCs w:val="24"/>
        </w:rPr>
        <w:t>»;</w:t>
      </w:r>
    </w:p>
    <w:p w:rsidR="00753A1F" w:rsidRDefault="00753A1F" w:rsidP="006C61A5">
      <w:pPr>
        <w:ind w:firstLine="851"/>
        <w:jc w:val="both"/>
        <w:rPr>
          <w:sz w:val="24"/>
          <w:szCs w:val="24"/>
        </w:rPr>
      </w:pPr>
    </w:p>
    <w:p w:rsidR="00753A1F" w:rsidRDefault="00CA73BC" w:rsidP="003A1E50">
      <w:pPr>
        <w:ind w:firstLine="851"/>
        <w:jc w:val="both"/>
        <w:rPr>
          <w:sz w:val="24"/>
          <w:szCs w:val="24"/>
        </w:rPr>
      </w:pPr>
      <w:r>
        <w:rPr>
          <w:sz w:val="24"/>
          <w:szCs w:val="24"/>
        </w:rPr>
        <w:t>м</w:t>
      </w:r>
      <w:r w:rsidR="007C35AB" w:rsidRPr="00BF265C">
        <w:rPr>
          <w:sz w:val="24"/>
          <w:szCs w:val="24"/>
        </w:rPr>
        <w:t xml:space="preserve">) </w:t>
      </w:r>
      <w:r w:rsidR="00753A1F">
        <w:rPr>
          <w:sz w:val="24"/>
          <w:szCs w:val="24"/>
        </w:rPr>
        <w:t xml:space="preserve">пункт 50 Инструкции </w:t>
      </w:r>
      <w:r w:rsidR="00753A1F" w:rsidRPr="00BA6290">
        <w:rPr>
          <w:sz w:val="24"/>
          <w:szCs w:val="24"/>
        </w:rPr>
        <w:t>дополнить новой частью второй</w:t>
      </w:r>
      <w:r w:rsidR="00753A1F">
        <w:rPr>
          <w:sz w:val="24"/>
          <w:szCs w:val="24"/>
        </w:rPr>
        <w:t xml:space="preserve"> следующего содержания:</w:t>
      </w:r>
    </w:p>
    <w:p w:rsidR="00136D76" w:rsidRPr="00BF265C" w:rsidRDefault="00753A1F" w:rsidP="003A1E50">
      <w:pPr>
        <w:ind w:firstLine="851"/>
        <w:jc w:val="both"/>
        <w:rPr>
          <w:sz w:val="24"/>
          <w:szCs w:val="24"/>
        </w:rPr>
      </w:pPr>
      <w:r>
        <w:rPr>
          <w:sz w:val="24"/>
          <w:szCs w:val="24"/>
        </w:rPr>
        <w:t>«</w:t>
      </w:r>
      <w:r w:rsidR="006C61A5" w:rsidRPr="00BF265C">
        <w:rPr>
          <w:sz w:val="24"/>
          <w:szCs w:val="24"/>
        </w:rPr>
        <w:t>Копии документов, прилагаемые к письму-обоснованию, должны быть заверены подписью руководителя (индивидуального предпринимателя) и оттиском печати импортера (при наличии). При наличии документов на иностранном языке необходимо представить нотариально удостоверенный их перевод на русский язык.</w:t>
      </w:r>
      <w:r w:rsidR="00136D76" w:rsidRPr="00BF265C">
        <w:rPr>
          <w:sz w:val="24"/>
          <w:szCs w:val="24"/>
        </w:rPr>
        <w:t>»;</w:t>
      </w:r>
    </w:p>
    <w:p w:rsidR="00136D76" w:rsidRPr="00BF265C" w:rsidRDefault="00136D76" w:rsidP="003A1E50">
      <w:pPr>
        <w:ind w:firstLine="851"/>
        <w:jc w:val="both"/>
        <w:rPr>
          <w:sz w:val="24"/>
          <w:szCs w:val="24"/>
        </w:rPr>
      </w:pPr>
    </w:p>
    <w:p w:rsidR="00753A1F" w:rsidRDefault="00CA73BC" w:rsidP="003A1E50">
      <w:pPr>
        <w:ind w:firstLine="851"/>
        <w:jc w:val="both"/>
        <w:rPr>
          <w:sz w:val="24"/>
          <w:szCs w:val="24"/>
        </w:rPr>
      </w:pPr>
      <w:r>
        <w:rPr>
          <w:sz w:val="24"/>
          <w:szCs w:val="24"/>
        </w:rPr>
        <w:t>н</w:t>
      </w:r>
      <w:r w:rsidR="007C35AB">
        <w:rPr>
          <w:sz w:val="24"/>
          <w:szCs w:val="24"/>
        </w:rPr>
        <w:t xml:space="preserve">) </w:t>
      </w:r>
      <w:r w:rsidR="00753A1F">
        <w:rPr>
          <w:sz w:val="24"/>
          <w:szCs w:val="24"/>
        </w:rPr>
        <w:t xml:space="preserve">части два, три, четыре пункта 50 Инструкции считать частями три, </w:t>
      </w:r>
      <w:r w:rsidR="00753A1F" w:rsidRPr="00BA6290">
        <w:rPr>
          <w:sz w:val="24"/>
          <w:szCs w:val="24"/>
        </w:rPr>
        <w:t>четыре, пять соответственно;</w:t>
      </w:r>
    </w:p>
    <w:p w:rsidR="00753A1F" w:rsidRDefault="00753A1F" w:rsidP="003A1E50">
      <w:pPr>
        <w:ind w:firstLine="851"/>
        <w:jc w:val="both"/>
        <w:rPr>
          <w:sz w:val="24"/>
          <w:szCs w:val="24"/>
        </w:rPr>
      </w:pPr>
    </w:p>
    <w:p w:rsidR="00BA6290" w:rsidRDefault="00CA73BC" w:rsidP="003A1E50">
      <w:pPr>
        <w:ind w:firstLine="851"/>
        <w:jc w:val="both"/>
        <w:rPr>
          <w:sz w:val="24"/>
          <w:szCs w:val="24"/>
        </w:rPr>
      </w:pPr>
      <w:r w:rsidRPr="00897773">
        <w:rPr>
          <w:sz w:val="24"/>
          <w:szCs w:val="24"/>
        </w:rPr>
        <w:t>о</w:t>
      </w:r>
      <w:r w:rsidR="007C35AB" w:rsidRPr="00897773">
        <w:rPr>
          <w:sz w:val="24"/>
          <w:szCs w:val="24"/>
        </w:rPr>
        <w:t xml:space="preserve">) </w:t>
      </w:r>
      <w:r w:rsidR="00BA6290" w:rsidRPr="00897773">
        <w:rPr>
          <w:sz w:val="24"/>
          <w:szCs w:val="24"/>
        </w:rPr>
        <w:t>в подпункте г) части четвертой пункта 50 Инструкции слова «части второй» заменить словами «части третьей»;</w:t>
      </w:r>
    </w:p>
    <w:p w:rsidR="00BA6290" w:rsidRDefault="00BA6290" w:rsidP="003A1E50">
      <w:pPr>
        <w:ind w:firstLine="851"/>
        <w:jc w:val="both"/>
        <w:rPr>
          <w:sz w:val="24"/>
          <w:szCs w:val="24"/>
        </w:rPr>
      </w:pPr>
    </w:p>
    <w:p w:rsidR="00753A1F" w:rsidRPr="00897773" w:rsidRDefault="00BA6290" w:rsidP="00452AB6">
      <w:pPr>
        <w:ind w:firstLine="851"/>
        <w:jc w:val="both"/>
        <w:rPr>
          <w:sz w:val="24"/>
          <w:szCs w:val="24"/>
        </w:rPr>
      </w:pPr>
      <w:r w:rsidRPr="00897773">
        <w:rPr>
          <w:sz w:val="24"/>
          <w:szCs w:val="24"/>
        </w:rPr>
        <w:t xml:space="preserve">п) </w:t>
      </w:r>
      <w:r w:rsidR="00753A1F" w:rsidRPr="00897773">
        <w:rPr>
          <w:sz w:val="24"/>
          <w:szCs w:val="24"/>
        </w:rPr>
        <w:t>подпункт а) пункта 52 Инструкции изложить в следующей редакции:</w:t>
      </w:r>
    </w:p>
    <w:p w:rsidR="004E6F70" w:rsidRPr="00526F42" w:rsidRDefault="00753A1F" w:rsidP="00452AB6">
      <w:pPr>
        <w:tabs>
          <w:tab w:val="num" w:pos="900"/>
        </w:tabs>
        <w:ind w:firstLine="851"/>
        <w:jc w:val="both"/>
        <w:rPr>
          <w:sz w:val="24"/>
          <w:szCs w:val="24"/>
        </w:rPr>
      </w:pPr>
      <w:r w:rsidRPr="00897773">
        <w:rPr>
          <w:sz w:val="24"/>
          <w:szCs w:val="24"/>
        </w:rPr>
        <w:t>«</w:t>
      </w:r>
      <w:r w:rsidR="00526F42" w:rsidRPr="00897773">
        <w:rPr>
          <w:sz w:val="24"/>
          <w:szCs w:val="24"/>
        </w:rPr>
        <w:t xml:space="preserve">а) Государственный таможенный комитет Приднестровской Молдавской Республики путем организации авторизированного доступа к веб-службе Государственного таможенного комитета Приднестровской Молдавской Республики предоставляет Приднестровскому республиканскому банку информацию об импортных таможенных декларациях, предусматривающих осуществление расчетов путем перечисления денежных средств, оформленных в соответствии с таможенными процедурами выпуск для внутреннего потребления (ИМ-40), реимпорт (ИМ-41), свободная таможенная зона (ИМ-71), беспошлинная торговля (ИМ-72), свободный склад (ИМ-73), таможенный склад (ИМ-74), отказ в пользу государства (ИМ-75), уничтожение (ИМ-76). Информация об импортных таможенных декларациях предоставляется в электронном виде согласно перечню полей, изложенному в </w:t>
      </w:r>
      <w:hyperlink w:anchor="Приложение5" w:history="1">
        <w:r w:rsidR="00526F42" w:rsidRPr="00897773">
          <w:rPr>
            <w:sz w:val="24"/>
            <w:szCs w:val="24"/>
          </w:rPr>
          <w:t>Приложении N 5</w:t>
        </w:r>
      </w:hyperlink>
      <w:r w:rsidR="00526F42" w:rsidRPr="00897773">
        <w:rPr>
          <w:sz w:val="24"/>
          <w:szCs w:val="24"/>
        </w:rPr>
        <w:t xml:space="preserve"> к настоящей Инструкции;</w:t>
      </w:r>
      <w:r w:rsidR="001F25FA" w:rsidRPr="00897773">
        <w:rPr>
          <w:sz w:val="24"/>
          <w:szCs w:val="24"/>
        </w:rPr>
        <w:t>»;</w:t>
      </w:r>
    </w:p>
    <w:p w:rsidR="00B66120" w:rsidRDefault="00B66120" w:rsidP="00452AB6">
      <w:pPr>
        <w:ind w:firstLine="851"/>
        <w:jc w:val="both"/>
        <w:rPr>
          <w:sz w:val="24"/>
          <w:szCs w:val="24"/>
        </w:rPr>
      </w:pPr>
    </w:p>
    <w:p w:rsidR="00136D76" w:rsidRPr="00BF265C" w:rsidRDefault="00BA6290" w:rsidP="00136D76">
      <w:pPr>
        <w:ind w:firstLine="851"/>
        <w:jc w:val="both"/>
        <w:rPr>
          <w:sz w:val="24"/>
          <w:szCs w:val="24"/>
        </w:rPr>
      </w:pPr>
      <w:r>
        <w:rPr>
          <w:sz w:val="24"/>
          <w:szCs w:val="24"/>
        </w:rPr>
        <w:t xml:space="preserve">р) </w:t>
      </w:r>
      <w:r w:rsidR="005207C2" w:rsidRPr="00BF265C">
        <w:rPr>
          <w:sz w:val="24"/>
          <w:szCs w:val="24"/>
        </w:rPr>
        <w:t xml:space="preserve">часть </w:t>
      </w:r>
      <w:r w:rsidR="00136D76" w:rsidRPr="00BF265C">
        <w:rPr>
          <w:sz w:val="24"/>
          <w:szCs w:val="24"/>
        </w:rPr>
        <w:t xml:space="preserve">вторую </w:t>
      </w:r>
      <w:r w:rsidR="005207C2" w:rsidRPr="00BF265C">
        <w:rPr>
          <w:sz w:val="24"/>
          <w:szCs w:val="24"/>
        </w:rPr>
        <w:t xml:space="preserve">пункта </w:t>
      </w:r>
      <w:r w:rsidR="00136D76" w:rsidRPr="00BF265C">
        <w:rPr>
          <w:sz w:val="24"/>
          <w:szCs w:val="24"/>
        </w:rPr>
        <w:t>66 Инструкции изложить в следующей редакции:</w:t>
      </w:r>
    </w:p>
    <w:p w:rsidR="00136D76" w:rsidRPr="00BF265C" w:rsidRDefault="00136D76" w:rsidP="00136D76">
      <w:pPr>
        <w:ind w:firstLine="851"/>
        <w:jc w:val="both"/>
        <w:rPr>
          <w:sz w:val="24"/>
          <w:szCs w:val="24"/>
        </w:rPr>
      </w:pPr>
      <w:r w:rsidRPr="00BF265C">
        <w:rPr>
          <w:sz w:val="24"/>
          <w:szCs w:val="24"/>
        </w:rPr>
        <w:t>«</w:t>
      </w:r>
      <w:r w:rsidR="00180124" w:rsidRPr="00BF265C">
        <w:rPr>
          <w:sz w:val="24"/>
          <w:szCs w:val="24"/>
        </w:rPr>
        <w:t>В целях осуществления контроля банк импортера может потребовать предоставления других документов, относящихся к данному платежу.</w:t>
      </w:r>
      <w:r w:rsidRPr="00BF265C">
        <w:rPr>
          <w:sz w:val="24"/>
          <w:szCs w:val="24"/>
        </w:rPr>
        <w:t>»;</w:t>
      </w:r>
    </w:p>
    <w:p w:rsidR="00136D76" w:rsidRPr="00BF265C" w:rsidRDefault="00136D76" w:rsidP="00136D76">
      <w:pPr>
        <w:ind w:firstLine="851"/>
        <w:jc w:val="both"/>
        <w:rPr>
          <w:sz w:val="24"/>
          <w:szCs w:val="24"/>
        </w:rPr>
      </w:pPr>
    </w:p>
    <w:p w:rsidR="00136D76" w:rsidRPr="00BF265C" w:rsidRDefault="00BA6290" w:rsidP="00136D76">
      <w:pPr>
        <w:ind w:firstLine="851"/>
        <w:jc w:val="both"/>
        <w:rPr>
          <w:sz w:val="24"/>
          <w:szCs w:val="24"/>
        </w:rPr>
      </w:pPr>
      <w:r>
        <w:rPr>
          <w:sz w:val="24"/>
          <w:szCs w:val="24"/>
        </w:rPr>
        <w:t xml:space="preserve">с) </w:t>
      </w:r>
      <w:r w:rsidR="00136D76" w:rsidRPr="00BF265C">
        <w:rPr>
          <w:sz w:val="24"/>
          <w:szCs w:val="24"/>
        </w:rPr>
        <w:t>Приложение N</w:t>
      </w:r>
      <w:r w:rsidR="00BC1CB3">
        <w:rPr>
          <w:sz w:val="24"/>
          <w:szCs w:val="24"/>
        </w:rPr>
        <w:t xml:space="preserve"> </w:t>
      </w:r>
      <w:r w:rsidR="00136D76" w:rsidRPr="00BF265C">
        <w:rPr>
          <w:sz w:val="24"/>
          <w:szCs w:val="24"/>
        </w:rPr>
        <w:t xml:space="preserve">5 к </w:t>
      </w:r>
      <w:r w:rsidR="00BF265C" w:rsidRPr="00086515">
        <w:rPr>
          <w:sz w:val="24"/>
          <w:szCs w:val="24"/>
        </w:rPr>
        <w:t>Инструкции изложить в редакции</w:t>
      </w:r>
      <w:r w:rsidR="00BC1CB3">
        <w:rPr>
          <w:sz w:val="24"/>
          <w:szCs w:val="24"/>
        </w:rPr>
        <w:t xml:space="preserve"> </w:t>
      </w:r>
      <w:r w:rsidR="00BF265C" w:rsidRPr="00086515">
        <w:rPr>
          <w:sz w:val="24"/>
          <w:szCs w:val="24"/>
        </w:rPr>
        <w:t>согласно Приложению к настоящему Указанию</w:t>
      </w:r>
      <w:r w:rsidR="00BF265C">
        <w:rPr>
          <w:sz w:val="24"/>
          <w:szCs w:val="24"/>
        </w:rPr>
        <w:t>.</w:t>
      </w:r>
    </w:p>
    <w:p w:rsidR="00BF265C" w:rsidRPr="00786384" w:rsidRDefault="00BF265C" w:rsidP="00BF265C">
      <w:pPr>
        <w:ind w:firstLine="709"/>
        <w:jc w:val="both"/>
        <w:rPr>
          <w:sz w:val="24"/>
          <w:szCs w:val="24"/>
        </w:rPr>
      </w:pPr>
    </w:p>
    <w:p w:rsidR="00DD4186" w:rsidRPr="001F1AE8" w:rsidRDefault="00DD4186" w:rsidP="00DD4186">
      <w:pPr>
        <w:ind w:firstLine="709"/>
        <w:jc w:val="both"/>
        <w:rPr>
          <w:sz w:val="24"/>
          <w:szCs w:val="24"/>
        </w:rPr>
      </w:pPr>
      <w:r w:rsidRPr="001F1AE8">
        <w:rPr>
          <w:sz w:val="24"/>
          <w:szCs w:val="24"/>
        </w:rPr>
        <w:t>2. Настоящее Указание вступает в силу по истечении 7 (семи) рабочих дней со дня официального опубликования.</w:t>
      </w:r>
    </w:p>
    <w:p w:rsidR="00DD4186" w:rsidRPr="00BF265C" w:rsidRDefault="00DD4186" w:rsidP="00DD4186">
      <w:pPr>
        <w:pStyle w:val="a7"/>
        <w:rPr>
          <w:szCs w:val="24"/>
        </w:rPr>
      </w:pPr>
    </w:p>
    <w:tbl>
      <w:tblPr>
        <w:tblW w:w="0" w:type="auto"/>
        <w:tblLook w:val="04A0"/>
      </w:tblPr>
      <w:tblGrid>
        <w:gridCol w:w="4927"/>
        <w:gridCol w:w="4927"/>
      </w:tblGrid>
      <w:tr w:rsidR="00DD4186" w:rsidRPr="00BF265C" w:rsidTr="00BE5F7C">
        <w:tc>
          <w:tcPr>
            <w:tcW w:w="4927" w:type="dxa"/>
          </w:tcPr>
          <w:p w:rsidR="00DD4186" w:rsidRPr="00BF265C" w:rsidRDefault="00DD4186" w:rsidP="00BE5F7C">
            <w:pPr>
              <w:rPr>
                <w:sz w:val="24"/>
                <w:szCs w:val="24"/>
              </w:rPr>
            </w:pPr>
            <w:r w:rsidRPr="00BF265C">
              <w:rPr>
                <w:sz w:val="24"/>
                <w:szCs w:val="24"/>
              </w:rPr>
              <w:t>Председатель Приднестровского республиканского банка</w:t>
            </w:r>
          </w:p>
        </w:tc>
        <w:tc>
          <w:tcPr>
            <w:tcW w:w="4927" w:type="dxa"/>
          </w:tcPr>
          <w:p w:rsidR="00DD4186" w:rsidRPr="00BF265C" w:rsidRDefault="00DD4186" w:rsidP="00BE5F7C">
            <w:pPr>
              <w:widowControl w:val="0"/>
              <w:tabs>
                <w:tab w:val="num" w:pos="993"/>
                <w:tab w:val="left" w:pos="7938"/>
              </w:tabs>
              <w:autoSpaceDE w:val="0"/>
              <w:autoSpaceDN w:val="0"/>
              <w:adjustRightInd w:val="0"/>
              <w:jc w:val="right"/>
              <w:rPr>
                <w:sz w:val="24"/>
                <w:szCs w:val="24"/>
              </w:rPr>
            </w:pPr>
          </w:p>
          <w:p w:rsidR="00DD4186" w:rsidRPr="00BF265C" w:rsidRDefault="00DD4186" w:rsidP="00BE5F7C">
            <w:pPr>
              <w:widowControl w:val="0"/>
              <w:tabs>
                <w:tab w:val="num" w:pos="993"/>
                <w:tab w:val="left" w:pos="7938"/>
              </w:tabs>
              <w:autoSpaceDE w:val="0"/>
              <w:autoSpaceDN w:val="0"/>
              <w:adjustRightInd w:val="0"/>
              <w:jc w:val="right"/>
              <w:rPr>
                <w:sz w:val="24"/>
                <w:szCs w:val="24"/>
              </w:rPr>
            </w:pPr>
            <w:r w:rsidRPr="00BF265C">
              <w:rPr>
                <w:sz w:val="24"/>
                <w:szCs w:val="24"/>
              </w:rPr>
              <w:t xml:space="preserve">В. С. </w:t>
            </w:r>
            <w:proofErr w:type="spellStart"/>
            <w:r w:rsidRPr="00BF265C">
              <w:rPr>
                <w:sz w:val="24"/>
                <w:szCs w:val="24"/>
              </w:rPr>
              <w:t>Тидва</w:t>
            </w:r>
            <w:proofErr w:type="spellEnd"/>
          </w:p>
        </w:tc>
      </w:tr>
      <w:tr w:rsidR="00DD4186" w:rsidRPr="00BF265C" w:rsidTr="00BE5F7C">
        <w:tc>
          <w:tcPr>
            <w:tcW w:w="4927" w:type="dxa"/>
          </w:tcPr>
          <w:p w:rsidR="00DD4186" w:rsidRPr="00BF265C" w:rsidRDefault="00DD4186" w:rsidP="00BE5F7C">
            <w:pPr>
              <w:rPr>
                <w:sz w:val="24"/>
                <w:szCs w:val="24"/>
              </w:rPr>
            </w:pPr>
          </w:p>
          <w:p w:rsidR="00DD4186" w:rsidRPr="00BF265C" w:rsidRDefault="00DD4186" w:rsidP="00BE5F7C">
            <w:pPr>
              <w:rPr>
                <w:sz w:val="24"/>
                <w:szCs w:val="24"/>
              </w:rPr>
            </w:pPr>
            <w:r w:rsidRPr="00BF265C">
              <w:rPr>
                <w:sz w:val="24"/>
                <w:szCs w:val="24"/>
              </w:rPr>
              <w:t>СОГЛАСОВАНО</w:t>
            </w:r>
          </w:p>
        </w:tc>
        <w:tc>
          <w:tcPr>
            <w:tcW w:w="4927" w:type="dxa"/>
          </w:tcPr>
          <w:p w:rsidR="00DD4186" w:rsidRPr="00BF265C" w:rsidRDefault="00DD4186" w:rsidP="00BE5F7C">
            <w:pPr>
              <w:widowControl w:val="0"/>
              <w:tabs>
                <w:tab w:val="num" w:pos="993"/>
                <w:tab w:val="left" w:pos="7938"/>
              </w:tabs>
              <w:autoSpaceDE w:val="0"/>
              <w:autoSpaceDN w:val="0"/>
              <w:adjustRightInd w:val="0"/>
              <w:jc w:val="right"/>
              <w:rPr>
                <w:sz w:val="24"/>
                <w:szCs w:val="24"/>
              </w:rPr>
            </w:pPr>
          </w:p>
        </w:tc>
      </w:tr>
      <w:tr w:rsidR="00DD4186" w:rsidRPr="00BF265C" w:rsidTr="00BE5F7C">
        <w:tc>
          <w:tcPr>
            <w:tcW w:w="4927" w:type="dxa"/>
          </w:tcPr>
          <w:p w:rsidR="00DD4186" w:rsidRPr="00BF265C" w:rsidRDefault="00DD4186" w:rsidP="00BE5F7C">
            <w:pPr>
              <w:rPr>
                <w:sz w:val="24"/>
                <w:szCs w:val="24"/>
              </w:rPr>
            </w:pPr>
          </w:p>
          <w:p w:rsidR="00DD4186" w:rsidRPr="00BF265C" w:rsidRDefault="00DD4186" w:rsidP="00BE5F7C">
            <w:pPr>
              <w:rPr>
                <w:sz w:val="24"/>
                <w:szCs w:val="24"/>
              </w:rPr>
            </w:pPr>
            <w:r w:rsidRPr="00BF265C">
              <w:rPr>
                <w:sz w:val="24"/>
                <w:szCs w:val="24"/>
              </w:rPr>
              <w:t xml:space="preserve">Председатель Государственного </w:t>
            </w:r>
          </w:p>
          <w:p w:rsidR="00DD4186" w:rsidRPr="00BF265C" w:rsidRDefault="00DD4186" w:rsidP="00BE5F7C">
            <w:pPr>
              <w:rPr>
                <w:sz w:val="24"/>
                <w:szCs w:val="24"/>
              </w:rPr>
            </w:pPr>
            <w:r w:rsidRPr="00BF265C">
              <w:rPr>
                <w:sz w:val="24"/>
                <w:szCs w:val="24"/>
              </w:rPr>
              <w:t>таможенного комитета</w:t>
            </w:r>
          </w:p>
          <w:p w:rsidR="00DD4186" w:rsidRPr="00BF265C" w:rsidRDefault="00DD4186" w:rsidP="00BE5F7C">
            <w:pPr>
              <w:widowControl w:val="0"/>
              <w:tabs>
                <w:tab w:val="num" w:pos="993"/>
                <w:tab w:val="left" w:pos="7938"/>
              </w:tabs>
              <w:autoSpaceDE w:val="0"/>
              <w:autoSpaceDN w:val="0"/>
              <w:adjustRightInd w:val="0"/>
              <w:jc w:val="both"/>
              <w:rPr>
                <w:sz w:val="24"/>
                <w:szCs w:val="24"/>
              </w:rPr>
            </w:pPr>
            <w:r w:rsidRPr="00BF265C">
              <w:rPr>
                <w:sz w:val="24"/>
                <w:szCs w:val="24"/>
              </w:rPr>
              <w:t>Приднестровской Молдавской Республики</w:t>
            </w:r>
          </w:p>
        </w:tc>
        <w:tc>
          <w:tcPr>
            <w:tcW w:w="4927" w:type="dxa"/>
          </w:tcPr>
          <w:p w:rsidR="00DD4186" w:rsidRPr="00BF265C" w:rsidRDefault="00DD4186" w:rsidP="00BE5F7C">
            <w:pPr>
              <w:widowControl w:val="0"/>
              <w:tabs>
                <w:tab w:val="num" w:pos="993"/>
                <w:tab w:val="left" w:pos="7938"/>
              </w:tabs>
              <w:autoSpaceDE w:val="0"/>
              <w:autoSpaceDN w:val="0"/>
              <w:adjustRightInd w:val="0"/>
              <w:jc w:val="right"/>
              <w:rPr>
                <w:sz w:val="24"/>
                <w:szCs w:val="24"/>
              </w:rPr>
            </w:pPr>
          </w:p>
          <w:p w:rsidR="00DD4186" w:rsidRPr="00BF265C" w:rsidRDefault="00DD4186" w:rsidP="00BE5F7C">
            <w:pPr>
              <w:widowControl w:val="0"/>
              <w:tabs>
                <w:tab w:val="num" w:pos="993"/>
                <w:tab w:val="left" w:pos="7938"/>
              </w:tabs>
              <w:autoSpaceDE w:val="0"/>
              <w:autoSpaceDN w:val="0"/>
              <w:adjustRightInd w:val="0"/>
              <w:jc w:val="right"/>
              <w:rPr>
                <w:sz w:val="24"/>
                <w:szCs w:val="24"/>
              </w:rPr>
            </w:pPr>
          </w:p>
          <w:p w:rsidR="00DD4186" w:rsidRPr="00BF265C" w:rsidRDefault="00DD4186" w:rsidP="00BE5F7C">
            <w:pPr>
              <w:widowControl w:val="0"/>
              <w:tabs>
                <w:tab w:val="num" w:pos="993"/>
                <w:tab w:val="left" w:pos="7938"/>
              </w:tabs>
              <w:autoSpaceDE w:val="0"/>
              <w:autoSpaceDN w:val="0"/>
              <w:adjustRightInd w:val="0"/>
              <w:jc w:val="right"/>
              <w:rPr>
                <w:sz w:val="24"/>
                <w:szCs w:val="24"/>
              </w:rPr>
            </w:pPr>
          </w:p>
          <w:p w:rsidR="00DD4186" w:rsidRPr="00BF265C" w:rsidRDefault="00DD4186" w:rsidP="00BE5F7C">
            <w:pPr>
              <w:widowControl w:val="0"/>
              <w:tabs>
                <w:tab w:val="num" w:pos="993"/>
                <w:tab w:val="left" w:pos="7938"/>
              </w:tabs>
              <w:autoSpaceDE w:val="0"/>
              <w:autoSpaceDN w:val="0"/>
              <w:adjustRightInd w:val="0"/>
              <w:jc w:val="right"/>
              <w:rPr>
                <w:sz w:val="24"/>
                <w:szCs w:val="24"/>
              </w:rPr>
            </w:pPr>
            <w:r w:rsidRPr="00BF265C">
              <w:rPr>
                <w:sz w:val="24"/>
                <w:szCs w:val="24"/>
              </w:rPr>
              <w:t xml:space="preserve">В. Н. </w:t>
            </w:r>
            <w:proofErr w:type="spellStart"/>
            <w:r w:rsidRPr="00BF265C">
              <w:rPr>
                <w:sz w:val="24"/>
                <w:szCs w:val="24"/>
              </w:rPr>
              <w:t>Нягу</w:t>
            </w:r>
            <w:proofErr w:type="spellEnd"/>
          </w:p>
        </w:tc>
      </w:tr>
    </w:tbl>
    <w:p w:rsidR="00DD4186" w:rsidRPr="00BF265C" w:rsidRDefault="00DD4186" w:rsidP="00DD4186">
      <w:pPr>
        <w:pStyle w:val="a7"/>
        <w:rPr>
          <w:i/>
          <w:szCs w:val="24"/>
        </w:rPr>
      </w:pPr>
    </w:p>
    <w:p w:rsidR="00DD4186" w:rsidRPr="00BF265C" w:rsidRDefault="00DD4186" w:rsidP="00DD4186">
      <w:pPr>
        <w:rPr>
          <w:sz w:val="24"/>
          <w:szCs w:val="24"/>
        </w:rPr>
      </w:pPr>
    </w:p>
    <w:p w:rsidR="00DD4186" w:rsidRPr="00BF265C" w:rsidRDefault="00DD4186" w:rsidP="00DD4186">
      <w:pPr>
        <w:jc w:val="both"/>
        <w:rPr>
          <w:sz w:val="24"/>
          <w:szCs w:val="24"/>
        </w:rPr>
      </w:pPr>
      <w:r w:rsidRPr="00BF265C">
        <w:rPr>
          <w:sz w:val="24"/>
          <w:szCs w:val="24"/>
        </w:rPr>
        <w:t xml:space="preserve">г. Тирасполь </w:t>
      </w:r>
    </w:p>
    <w:p w:rsidR="00DD4186" w:rsidRPr="003F2E54" w:rsidRDefault="00DD4186" w:rsidP="00DD4186">
      <w:pPr>
        <w:jc w:val="both"/>
        <w:rPr>
          <w:color w:val="000000" w:themeColor="text1"/>
          <w:sz w:val="24"/>
          <w:szCs w:val="24"/>
        </w:rPr>
      </w:pPr>
      <w:r w:rsidRPr="003F2E54">
        <w:rPr>
          <w:color w:val="000000" w:themeColor="text1"/>
          <w:sz w:val="24"/>
          <w:szCs w:val="24"/>
        </w:rPr>
        <w:t>«</w:t>
      </w:r>
      <w:r w:rsidR="00515FC9" w:rsidRPr="003F2E54">
        <w:rPr>
          <w:color w:val="000000" w:themeColor="text1"/>
          <w:sz w:val="24"/>
          <w:szCs w:val="24"/>
        </w:rPr>
        <w:t>24</w:t>
      </w:r>
      <w:r w:rsidRPr="003F2E54">
        <w:rPr>
          <w:color w:val="000000" w:themeColor="text1"/>
          <w:sz w:val="24"/>
          <w:szCs w:val="24"/>
        </w:rPr>
        <w:t xml:space="preserve">» </w:t>
      </w:r>
      <w:r w:rsidR="00515FC9" w:rsidRPr="003F2E54">
        <w:rPr>
          <w:color w:val="000000" w:themeColor="text1"/>
          <w:sz w:val="24"/>
          <w:szCs w:val="24"/>
        </w:rPr>
        <w:t>сентября</w:t>
      </w:r>
      <w:r w:rsidRPr="003F2E54">
        <w:rPr>
          <w:color w:val="000000" w:themeColor="text1"/>
          <w:sz w:val="24"/>
          <w:szCs w:val="24"/>
        </w:rPr>
        <w:t xml:space="preserve"> 2019 года</w:t>
      </w:r>
    </w:p>
    <w:p w:rsidR="00DD4186" w:rsidRPr="003F2E54" w:rsidRDefault="00DD4186" w:rsidP="00DD4186">
      <w:pPr>
        <w:keepLines/>
        <w:jc w:val="both"/>
        <w:rPr>
          <w:color w:val="000000" w:themeColor="text1"/>
          <w:sz w:val="24"/>
          <w:szCs w:val="24"/>
        </w:rPr>
      </w:pPr>
      <w:r w:rsidRPr="003F2E54">
        <w:rPr>
          <w:color w:val="000000" w:themeColor="text1"/>
          <w:sz w:val="24"/>
          <w:szCs w:val="24"/>
        </w:rPr>
        <w:t xml:space="preserve">N </w:t>
      </w:r>
      <w:r w:rsidR="00515FC9" w:rsidRPr="003F2E54">
        <w:rPr>
          <w:color w:val="000000" w:themeColor="text1"/>
          <w:sz w:val="24"/>
          <w:szCs w:val="24"/>
        </w:rPr>
        <w:t>1191</w:t>
      </w:r>
      <w:r w:rsidRPr="003F2E54">
        <w:rPr>
          <w:color w:val="000000" w:themeColor="text1"/>
          <w:sz w:val="24"/>
          <w:szCs w:val="24"/>
        </w:rPr>
        <w:t>-У</w:t>
      </w:r>
    </w:p>
    <w:p w:rsidR="00DD4186" w:rsidRPr="00BF265C" w:rsidRDefault="00DD4186" w:rsidP="00DD4186">
      <w:pPr>
        <w:ind w:right="-2" w:firstLine="851"/>
        <w:jc w:val="both"/>
        <w:rPr>
          <w:sz w:val="24"/>
          <w:szCs w:val="24"/>
        </w:rPr>
      </w:pPr>
    </w:p>
    <w:p w:rsidR="00136D76" w:rsidRPr="00BF265C" w:rsidRDefault="00136D76" w:rsidP="00136D76">
      <w:pPr>
        <w:ind w:firstLine="851"/>
        <w:jc w:val="both"/>
        <w:rPr>
          <w:sz w:val="24"/>
          <w:szCs w:val="24"/>
        </w:rPr>
      </w:pPr>
    </w:p>
    <w:p w:rsidR="00BF265C" w:rsidRDefault="00BF265C">
      <w:pPr>
        <w:rPr>
          <w:sz w:val="24"/>
          <w:szCs w:val="24"/>
        </w:rPr>
      </w:pPr>
      <w:r>
        <w:rPr>
          <w:sz w:val="24"/>
          <w:szCs w:val="24"/>
        </w:rPr>
        <w:br w:type="page"/>
      </w:r>
    </w:p>
    <w:p w:rsidR="003205A7" w:rsidRDefault="00180124" w:rsidP="00180124">
      <w:pPr>
        <w:ind w:left="4253" w:right="-2"/>
        <w:jc w:val="both"/>
        <w:rPr>
          <w:sz w:val="24"/>
          <w:szCs w:val="24"/>
        </w:rPr>
      </w:pPr>
      <w:r w:rsidRPr="00BF265C">
        <w:rPr>
          <w:sz w:val="24"/>
          <w:szCs w:val="24"/>
        </w:rPr>
        <w:lastRenderedPageBreak/>
        <w:t xml:space="preserve">Приложение </w:t>
      </w:r>
    </w:p>
    <w:p w:rsidR="00180124" w:rsidRPr="00BF265C" w:rsidRDefault="00180124" w:rsidP="00180124">
      <w:pPr>
        <w:ind w:left="4253" w:right="-2"/>
        <w:jc w:val="both"/>
        <w:rPr>
          <w:sz w:val="24"/>
          <w:szCs w:val="24"/>
        </w:rPr>
      </w:pPr>
      <w:r w:rsidRPr="00BF265C">
        <w:rPr>
          <w:sz w:val="24"/>
          <w:szCs w:val="24"/>
        </w:rPr>
        <w:t xml:space="preserve">к Указанию Приднестровского республиканского банка от </w:t>
      </w:r>
      <w:r w:rsidR="00515FC9" w:rsidRPr="002732E7">
        <w:rPr>
          <w:color w:val="000000" w:themeColor="text1"/>
          <w:sz w:val="24"/>
          <w:szCs w:val="24"/>
        </w:rPr>
        <w:t>24.09.</w:t>
      </w:r>
      <w:r w:rsidRPr="002732E7">
        <w:rPr>
          <w:color w:val="000000" w:themeColor="text1"/>
          <w:sz w:val="24"/>
          <w:szCs w:val="24"/>
        </w:rPr>
        <w:t>2019</w:t>
      </w:r>
      <w:r w:rsidRPr="00BF265C">
        <w:rPr>
          <w:sz w:val="24"/>
          <w:szCs w:val="24"/>
        </w:rPr>
        <w:t xml:space="preserve"> года N </w:t>
      </w:r>
      <w:r w:rsidR="00515FC9" w:rsidRPr="002732E7">
        <w:rPr>
          <w:color w:val="000000" w:themeColor="text1"/>
          <w:sz w:val="24"/>
          <w:szCs w:val="24"/>
        </w:rPr>
        <w:t>1191-У</w:t>
      </w:r>
      <w:r w:rsidR="002732E7" w:rsidRPr="002732E7">
        <w:rPr>
          <w:color w:val="000000" w:themeColor="text1"/>
          <w:sz w:val="24"/>
          <w:szCs w:val="24"/>
        </w:rPr>
        <w:t xml:space="preserve"> </w:t>
      </w:r>
      <w:r w:rsidRPr="00BF265C">
        <w:rPr>
          <w:b/>
          <w:sz w:val="24"/>
          <w:szCs w:val="24"/>
        </w:rPr>
        <w:t>«</w:t>
      </w:r>
      <w:r w:rsidRPr="00BF265C">
        <w:rPr>
          <w:sz w:val="24"/>
          <w:szCs w:val="24"/>
        </w:rPr>
        <w:t xml:space="preserve">О внесении изменений и дополнений в Инструкцию Приднестровского республиканского банка от 9 июля 2010 года N 31-И «О порядке осуществления валютного </w:t>
      </w:r>
      <w:proofErr w:type="gramStart"/>
      <w:r w:rsidRPr="00BF265C">
        <w:rPr>
          <w:sz w:val="24"/>
          <w:szCs w:val="24"/>
        </w:rPr>
        <w:t>контроля за</w:t>
      </w:r>
      <w:proofErr w:type="gramEnd"/>
      <w:r w:rsidRPr="00BF265C">
        <w:rPr>
          <w:sz w:val="24"/>
          <w:szCs w:val="24"/>
        </w:rPr>
        <w:t xml:space="preserve"> платежами в иностранной валюте в пользу нерезидентов» (регистрационный </w:t>
      </w:r>
      <w:r w:rsidR="00CA73BC">
        <w:rPr>
          <w:sz w:val="24"/>
          <w:szCs w:val="24"/>
        </w:rPr>
        <w:br/>
      </w:r>
      <w:r w:rsidRPr="00BF265C">
        <w:rPr>
          <w:sz w:val="24"/>
          <w:szCs w:val="24"/>
        </w:rPr>
        <w:t>N 5385 от 15 сентября 2010 года) (САЗ 10-37)</w:t>
      </w:r>
      <w:r w:rsidRPr="00BF265C">
        <w:rPr>
          <w:b/>
          <w:sz w:val="24"/>
          <w:szCs w:val="24"/>
        </w:rPr>
        <w:t>»</w:t>
      </w:r>
    </w:p>
    <w:p w:rsidR="00180124" w:rsidRPr="00BF265C" w:rsidRDefault="00180124" w:rsidP="00180124">
      <w:pPr>
        <w:ind w:left="4253" w:right="-2"/>
        <w:jc w:val="both"/>
        <w:rPr>
          <w:sz w:val="24"/>
          <w:szCs w:val="24"/>
        </w:rPr>
      </w:pPr>
    </w:p>
    <w:p w:rsidR="00180124" w:rsidRPr="00BF265C" w:rsidRDefault="00180124" w:rsidP="00180124">
      <w:pPr>
        <w:ind w:left="4253" w:right="-2"/>
        <w:jc w:val="both"/>
        <w:rPr>
          <w:sz w:val="24"/>
          <w:szCs w:val="24"/>
        </w:rPr>
      </w:pPr>
      <w:r w:rsidRPr="00BF265C">
        <w:rPr>
          <w:sz w:val="24"/>
          <w:szCs w:val="24"/>
        </w:rPr>
        <w:t>Приложение N 5</w:t>
      </w:r>
    </w:p>
    <w:p w:rsidR="00180124" w:rsidRPr="00BF265C" w:rsidRDefault="00180124" w:rsidP="00180124">
      <w:pPr>
        <w:ind w:left="4253" w:right="-2"/>
        <w:jc w:val="both"/>
        <w:rPr>
          <w:sz w:val="24"/>
          <w:szCs w:val="24"/>
        </w:rPr>
      </w:pPr>
      <w:r w:rsidRPr="00BF265C">
        <w:rPr>
          <w:sz w:val="24"/>
          <w:szCs w:val="24"/>
        </w:rPr>
        <w:t>к Инструкции от 9 июля 2010 года N 31-И «О порядке осуществления валютного контроля за платежами в иностранной валюте в пользу нерезидентов»</w:t>
      </w:r>
    </w:p>
    <w:p w:rsidR="001F25FA" w:rsidRDefault="001F25FA" w:rsidP="001F25FA">
      <w:pPr>
        <w:jc w:val="center"/>
        <w:outlineLvl w:val="0"/>
        <w:rPr>
          <w:sz w:val="24"/>
          <w:szCs w:val="24"/>
        </w:rPr>
      </w:pPr>
    </w:p>
    <w:p w:rsidR="001F25FA" w:rsidRPr="00CA73BC" w:rsidRDefault="001F25FA" w:rsidP="001F25FA">
      <w:pPr>
        <w:jc w:val="center"/>
        <w:outlineLvl w:val="0"/>
        <w:rPr>
          <w:sz w:val="24"/>
          <w:szCs w:val="24"/>
        </w:rPr>
      </w:pPr>
      <w:r w:rsidRPr="00CA73BC">
        <w:rPr>
          <w:sz w:val="24"/>
          <w:szCs w:val="24"/>
        </w:rPr>
        <w:t xml:space="preserve">Информация об импортных </w:t>
      </w:r>
      <w:r w:rsidR="007C35AB" w:rsidRPr="00CA73BC">
        <w:rPr>
          <w:sz w:val="24"/>
          <w:szCs w:val="24"/>
        </w:rPr>
        <w:t xml:space="preserve">таможенных </w:t>
      </w:r>
      <w:r w:rsidRPr="00CA73BC">
        <w:rPr>
          <w:sz w:val="24"/>
          <w:szCs w:val="24"/>
        </w:rPr>
        <w:t xml:space="preserve">декларациях, </w:t>
      </w:r>
    </w:p>
    <w:p w:rsidR="00CA73BC" w:rsidRDefault="001F25FA" w:rsidP="001F25FA">
      <w:pPr>
        <w:jc w:val="center"/>
        <w:outlineLvl w:val="0"/>
        <w:rPr>
          <w:sz w:val="24"/>
          <w:szCs w:val="24"/>
        </w:rPr>
      </w:pPr>
      <w:r w:rsidRPr="00CA73BC">
        <w:rPr>
          <w:sz w:val="24"/>
          <w:szCs w:val="24"/>
        </w:rPr>
        <w:t>предусматривающих осуществление расчетов путем перечисления денежных средств, оформленных в соответствии с</w:t>
      </w:r>
      <w:r w:rsidR="00CA73BC" w:rsidRPr="00CA73BC">
        <w:rPr>
          <w:sz w:val="24"/>
          <w:szCs w:val="24"/>
        </w:rPr>
        <w:t xml:space="preserve"> таможенными процедурами выпуск</w:t>
      </w:r>
      <w:r w:rsidRPr="00CA73BC">
        <w:rPr>
          <w:sz w:val="24"/>
          <w:szCs w:val="24"/>
        </w:rPr>
        <w:t xml:space="preserve"> для внутреннего потребления (ИМ-40), реимпорт (ИМ-41), свободн</w:t>
      </w:r>
      <w:r w:rsidR="00CA73BC" w:rsidRPr="00CA73BC">
        <w:rPr>
          <w:sz w:val="24"/>
          <w:szCs w:val="24"/>
        </w:rPr>
        <w:t>ая</w:t>
      </w:r>
      <w:r w:rsidRPr="00CA73BC">
        <w:rPr>
          <w:sz w:val="24"/>
          <w:szCs w:val="24"/>
        </w:rPr>
        <w:t xml:space="preserve"> таможенн</w:t>
      </w:r>
      <w:r w:rsidR="00CA73BC" w:rsidRPr="00CA73BC">
        <w:rPr>
          <w:sz w:val="24"/>
          <w:szCs w:val="24"/>
        </w:rPr>
        <w:t>ая</w:t>
      </w:r>
      <w:r w:rsidRPr="00CA73BC">
        <w:rPr>
          <w:sz w:val="24"/>
          <w:szCs w:val="24"/>
        </w:rPr>
        <w:t xml:space="preserve"> зон</w:t>
      </w:r>
      <w:r w:rsidR="00CA73BC" w:rsidRPr="00CA73BC">
        <w:rPr>
          <w:sz w:val="24"/>
          <w:szCs w:val="24"/>
        </w:rPr>
        <w:t>а</w:t>
      </w:r>
      <w:r w:rsidRPr="00CA73BC">
        <w:rPr>
          <w:sz w:val="24"/>
          <w:szCs w:val="24"/>
        </w:rPr>
        <w:t xml:space="preserve"> (ИМ-71), </w:t>
      </w:r>
      <w:r w:rsidRPr="00CA73BC">
        <w:rPr>
          <w:color w:val="000000"/>
          <w:sz w:val="24"/>
          <w:szCs w:val="24"/>
        </w:rPr>
        <w:t>беспошлинн</w:t>
      </w:r>
      <w:r w:rsidR="00CA73BC" w:rsidRPr="00CA73BC">
        <w:rPr>
          <w:color w:val="000000"/>
          <w:sz w:val="24"/>
          <w:szCs w:val="24"/>
        </w:rPr>
        <w:t>ая</w:t>
      </w:r>
      <w:r w:rsidRPr="00CA73BC">
        <w:rPr>
          <w:color w:val="000000"/>
          <w:sz w:val="24"/>
          <w:szCs w:val="24"/>
        </w:rPr>
        <w:t xml:space="preserve"> торговл</w:t>
      </w:r>
      <w:r w:rsidR="00CA73BC" w:rsidRPr="00CA73BC">
        <w:rPr>
          <w:color w:val="000000"/>
          <w:sz w:val="24"/>
          <w:szCs w:val="24"/>
        </w:rPr>
        <w:t>я</w:t>
      </w:r>
      <w:r w:rsidRPr="00CA73BC">
        <w:rPr>
          <w:color w:val="000000"/>
          <w:sz w:val="24"/>
          <w:szCs w:val="24"/>
        </w:rPr>
        <w:t xml:space="preserve"> (ИМ-72), </w:t>
      </w:r>
      <w:r w:rsidRPr="00CA73BC">
        <w:rPr>
          <w:sz w:val="24"/>
          <w:szCs w:val="24"/>
        </w:rPr>
        <w:t>свободн</w:t>
      </w:r>
      <w:r w:rsidR="00CA73BC" w:rsidRPr="00CA73BC">
        <w:rPr>
          <w:sz w:val="24"/>
          <w:szCs w:val="24"/>
        </w:rPr>
        <w:t>ый</w:t>
      </w:r>
      <w:r w:rsidRPr="00CA73BC">
        <w:rPr>
          <w:sz w:val="24"/>
          <w:szCs w:val="24"/>
        </w:rPr>
        <w:t xml:space="preserve"> склад (ИМ-73), таможенн</w:t>
      </w:r>
      <w:r w:rsidR="00CA73BC" w:rsidRPr="00CA73BC">
        <w:rPr>
          <w:sz w:val="24"/>
          <w:szCs w:val="24"/>
        </w:rPr>
        <w:t>ый</w:t>
      </w:r>
      <w:r w:rsidRPr="00CA73BC">
        <w:rPr>
          <w:sz w:val="24"/>
          <w:szCs w:val="24"/>
        </w:rPr>
        <w:t xml:space="preserve"> склад (ИМ-74),</w:t>
      </w:r>
    </w:p>
    <w:p w:rsidR="00180124" w:rsidRDefault="00CA73BC" w:rsidP="001F25FA">
      <w:pPr>
        <w:jc w:val="center"/>
        <w:outlineLvl w:val="0"/>
        <w:rPr>
          <w:sz w:val="24"/>
          <w:szCs w:val="24"/>
        </w:rPr>
      </w:pPr>
      <w:r w:rsidRPr="00CA73BC">
        <w:rPr>
          <w:sz w:val="24"/>
          <w:szCs w:val="24"/>
        </w:rPr>
        <w:t>отказ</w:t>
      </w:r>
      <w:r w:rsidR="001F25FA" w:rsidRPr="00CA73BC">
        <w:rPr>
          <w:sz w:val="24"/>
          <w:szCs w:val="24"/>
        </w:rPr>
        <w:t xml:space="preserve"> в пользу государства (ИМ-75), уничтожени</w:t>
      </w:r>
      <w:r w:rsidRPr="00CA73BC">
        <w:rPr>
          <w:sz w:val="24"/>
          <w:szCs w:val="24"/>
        </w:rPr>
        <w:t>е</w:t>
      </w:r>
      <w:r w:rsidR="001F25FA" w:rsidRPr="00CA73BC">
        <w:rPr>
          <w:sz w:val="24"/>
          <w:szCs w:val="24"/>
        </w:rPr>
        <w:t xml:space="preserve"> (ИМ-76).</w:t>
      </w:r>
    </w:p>
    <w:p w:rsidR="001F25FA" w:rsidRPr="00BF265C" w:rsidRDefault="001F25FA" w:rsidP="001F25FA">
      <w:pPr>
        <w:jc w:val="center"/>
        <w:outlineLvl w:val="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363"/>
      </w:tblGrid>
      <w:tr w:rsidR="00180124" w:rsidRPr="00BF265C" w:rsidTr="00586D22">
        <w:trPr>
          <w:trHeight w:val="315"/>
        </w:trPr>
        <w:tc>
          <w:tcPr>
            <w:tcW w:w="993" w:type="dxa"/>
            <w:shd w:val="clear" w:color="auto" w:fill="auto"/>
            <w:noWrap/>
            <w:vAlign w:val="center"/>
            <w:hideMark/>
          </w:tcPr>
          <w:p w:rsidR="00180124" w:rsidRPr="00BF265C" w:rsidRDefault="00180124" w:rsidP="00586D22">
            <w:pPr>
              <w:ind w:left="34"/>
              <w:jc w:val="center"/>
              <w:rPr>
                <w:spacing w:val="20"/>
                <w:sz w:val="24"/>
                <w:szCs w:val="24"/>
              </w:rPr>
            </w:pPr>
            <w:r w:rsidRPr="00BF265C">
              <w:rPr>
                <w:sz w:val="24"/>
                <w:szCs w:val="24"/>
              </w:rPr>
              <w:t>Номер поля</w:t>
            </w:r>
          </w:p>
        </w:tc>
        <w:tc>
          <w:tcPr>
            <w:tcW w:w="8363" w:type="dxa"/>
            <w:shd w:val="clear" w:color="auto" w:fill="auto"/>
            <w:noWrap/>
            <w:vAlign w:val="center"/>
            <w:hideMark/>
          </w:tcPr>
          <w:p w:rsidR="00180124" w:rsidRPr="00BF265C" w:rsidRDefault="00180124" w:rsidP="00586D22">
            <w:pPr>
              <w:jc w:val="center"/>
              <w:rPr>
                <w:spacing w:val="20"/>
                <w:sz w:val="24"/>
                <w:szCs w:val="24"/>
              </w:rPr>
            </w:pPr>
            <w:r w:rsidRPr="00BF265C">
              <w:rPr>
                <w:sz w:val="24"/>
                <w:szCs w:val="24"/>
              </w:rPr>
              <w:t>Содержание поля</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w:t>
            </w:r>
          </w:p>
        </w:tc>
        <w:tc>
          <w:tcPr>
            <w:tcW w:w="8363" w:type="dxa"/>
            <w:shd w:val="clear" w:color="auto" w:fill="auto"/>
            <w:noWrap/>
            <w:hideMark/>
          </w:tcPr>
          <w:p w:rsidR="00180124" w:rsidRPr="009F3BCC" w:rsidRDefault="00180124" w:rsidP="0076712B">
            <w:pPr>
              <w:rPr>
                <w:sz w:val="24"/>
                <w:szCs w:val="24"/>
              </w:rPr>
            </w:pPr>
            <w:r w:rsidRPr="009F3BCC">
              <w:rPr>
                <w:sz w:val="24"/>
                <w:szCs w:val="24"/>
              </w:rPr>
              <w:t xml:space="preserve">Наименование таможенного органа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2</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Фискальный код субъекта хозяйственной деятельности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3</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Наименование субъекта хозяйственной деятельности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4</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Номер таможенной декларации (в формате ХХХ/ХХХХХХ/ХХХХХХ)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5</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Дата оформления таможенной декларации </w:t>
            </w:r>
            <w:r w:rsidRPr="00EB3362">
              <w:rPr>
                <w:sz w:val="24"/>
                <w:szCs w:val="24"/>
              </w:rPr>
              <w:t>(в формате ДД.ММ.ГГГГ)</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6</w:t>
            </w:r>
          </w:p>
        </w:tc>
        <w:tc>
          <w:tcPr>
            <w:tcW w:w="8363" w:type="dxa"/>
            <w:shd w:val="clear" w:color="auto" w:fill="auto"/>
            <w:noWrap/>
            <w:hideMark/>
          </w:tcPr>
          <w:p w:rsidR="00180124" w:rsidRPr="009F3BCC" w:rsidRDefault="00180124" w:rsidP="00586D22">
            <w:pPr>
              <w:rPr>
                <w:sz w:val="24"/>
                <w:szCs w:val="24"/>
              </w:rPr>
            </w:pPr>
            <w:r w:rsidRPr="009F3BCC">
              <w:rPr>
                <w:sz w:val="24"/>
                <w:szCs w:val="24"/>
              </w:rPr>
              <w:t>Код страны (торговая)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7</w:t>
            </w:r>
          </w:p>
        </w:tc>
        <w:tc>
          <w:tcPr>
            <w:tcW w:w="8363" w:type="dxa"/>
            <w:shd w:val="clear" w:color="auto" w:fill="auto"/>
            <w:noWrap/>
            <w:hideMark/>
          </w:tcPr>
          <w:p w:rsidR="00180124" w:rsidRPr="009F3BCC" w:rsidRDefault="00180124" w:rsidP="00586D22">
            <w:pPr>
              <w:rPr>
                <w:sz w:val="24"/>
                <w:szCs w:val="24"/>
                <w:lang w:val="en-US"/>
              </w:rPr>
            </w:pPr>
            <w:r w:rsidRPr="009F3BCC">
              <w:rPr>
                <w:sz w:val="24"/>
                <w:szCs w:val="24"/>
              </w:rPr>
              <w:t>Код страны (отправления)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8</w:t>
            </w:r>
          </w:p>
        </w:tc>
        <w:tc>
          <w:tcPr>
            <w:tcW w:w="8363" w:type="dxa"/>
            <w:shd w:val="clear" w:color="auto" w:fill="auto"/>
            <w:noWrap/>
            <w:hideMark/>
          </w:tcPr>
          <w:p w:rsidR="00180124" w:rsidRPr="009F3BCC" w:rsidRDefault="00180124" w:rsidP="00586D22">
            <w:pPr>
              <w:rPr>
                <w:sz w:val="24"/>
                <w:szCs w:val="24"/>
              </w:rPr>
            </w:pPr>
            <w:r w:rsidRPr="009F3BCC">
              <w:rPr>
                <w:sz w:val="24"/>
                <w:szCs w:val="24"/>
              </w:rPr>
              <w:t>Тип документа, подтверждающего совершение внешнеэкономической сделки</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9</w:t>
            </w:r>
          </w:p>
        </w:tc>
        <w:tc>
          <w:tcPr>
            <w:tcW w:w="8363" w:type="dxa"/>
            <w:shd w:val="clear" w:color="auto" w:fill="auto"/>
            <w:noWrap/>
            <w:hideMark/>
          </w:tcPr>
          <w:p w:rsidR="00180124" w:rsidRPr="009F3BCC" w:rsidRDefault="00180124" w:rsidP="00586D22">
            <w:pPr>
              <w:rPr>
                <w:sz w:val="24"/>
                <w:szCs w:val="24"/>
              </w:rPr>
            </w:pPr>
            <w:r w:rsidRPr="009F3BCC">
              <w:rPr>
                <w:sz w:val="24"/>
                <w:szCs w:val="24"/>
              </w:rPr>
              <w:t>Номер документа, подтверждающего совершение внешнеэкономической сделки</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10</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Дата документа, подтверждающего совершение внешнеэкономической сделки </w:t>
            </w:r>
            <w:r w:rsidRPr="00EB3362">
              <w:rPr>
                <w:sz w:val="24"/>
                <w:szCs w:val="24"/>
              </w:rPr>
              <w:t>(в формате ДД.ММ.ГГГГ)</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11</w:t>
            </w:r>
          </w:p>
        </w:tc>
        <w:tc>
          <w:tcPr>
            <w:tcW w:w="8363" w:type="dxa"/>
            <w:shd w:val="clear" w:color="auto" w:fill="auto"/>
            <w:noWrap/>
            <w:hideMark/>
          </w:tcPr>
          <w:p w:rsidR="00180124" w:rsidRPr="009F3BCC" w:rsidRDefault="00180124" w:rsidP="00586D22">
            <w:pPr>
              <w:rPr>
                <w:sz w:val="24"/>
                <w:szCs w:val="24"/>
              </w:rPr>
            </w:pPr>
            <w:r w:rsidRPr="009F3BCC">
              <w:rPr>
                <w:sz w:val="24"/>
                <w:szCs w:val="24"/>
              </w:rPr>
              <w:t>Банковский код контракта (БКК) (в формате ХХХХХХХХХХ-ХХХХХХ)</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12</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Код валюты стоимости товаров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13</w:t>
            </w:r>
          </w:p>
        </w:tc>
        <w:tc>
          <w:tcPr>
            <w:tcW w:w="8363" w:type="dxa"/>
            <w:shd w:val="clear" w:color="auto" w:fill="auto"/>
            <w:noWrap/>
            <w:hideMark/>
          </w:tcPr>
          <w:p w:rsidR="00180124" w:rsidRPr="009F3BCC" w:rsidRDefault="00180124" w:rsidP="00586D22">
            <w:pPr>
              <w:rPr>
                <w:sz w:val="24"/>
                <w:szCs w:val="24"/>
              </w:rPr>
            </w:pPr>
            <w:r w:rsidRPr="009F3BCC">
              <w:rPr>
                <w:sz w:val="24"/>
                <w:szCs w:val="24"/>
              </w:rPr>
              <w:t xml:space="preserve">Сумма в валюте, подлежащая валютному контролю за товары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14</w:t>
            </w:r>
          </w:p>
        </w:tc>
        <w:tc>
          <w:tcPr>
            <w:tcW w:w="8363" w:type="dxa"/>
            <w:shd w:val="clear" w:color="auto" w:fill="auto"/>
            <w:noWrap/>
            <w:hideMark/>
          </w:tcPr>
          <w:p w:rsidR="00180124" w:rsidRPr="0076712B" w:rsidRDefault="00180124" w:rsidP="005A79FB">
            <w:pPr>
              <w:rPr>
                <w:sz w:val="24"/>
                <w:szCs w:val="24"/>
              </w:rPr>
            </w:pPr>
            <w:r w:rsidRPr="0076712B">
              <w:rPr>
                <w:sz w:val="24"/>
                <w:szCs w:val="24"/>
              </w:rPr>
              <w:t>КУБ</w:t>
            </w:r>
            <w:r w:rsidR="005A79FB" w:rsidRPr="0076712B">
              <w:rPr>
                <w:sz w:val="24"/>
                <w:szCs w:val="24"/>
              </w:rPr>
              <w:t>банка импортера</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15</w:t>
            </w:r>
          </w:p>
        </w:tc>
        <w:tc>
          <w:tcPr>
            <w:tcW w:w="8363" w:type="dxa"/>
            <w:shd w:val="clear" w:color="auto" w:fill="auto"/>
            <w:noWrap/>
            <w:hideMark/>
          </w:tcPr>
          <w:p w:rsidR="00180124" w:rsidRPr="0076712B" w:rsidRDefault="00180124" w:rsidP="00586D22">
            <w:pPr>
              <w:rPr>
                <w:sz w:val="24"/>
                <w:szCs w:val="24"/>
              </w:rPr>
            </w:pPr>
            <w:r w:rsidRPr="0076712B">
              <w:rPr>
                <w:sz w:val="24"/>
                <w:szCs w:val="24"/>
              </w:rPr>
              <w:t xml:space="preserve">Курс валюты </w:t>
            </w:r>
            <w:r w:rsidR="005A79FB" w:rsidRPr="0076712B">
              <w:rPr>
                <w:sz w:val="24"/>
                <w:szCs w:val="24"/>
              </w:rPr>
              <w:t>на дату оформления таможенной декларации</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16</w:t>
            </w:r>
          </w:p>
        </w:tc>
        <w:tc>
          <w:tcPr>
            <w:tcW w:w="8363" w:type="dxa"/>
            <w:shd w:val="clear" w:color="auto" w:fill="auto"/>
            <w:noWrap/>
            <w:hideMark/>
          </w:tcPr>
          <w:p w:rsidR="00180124" w:rsidRPr="0076712B" w:rsidRDefault="00180124" w:rsidP="005A79FB">
            <w:pPr>
              <w:rPr>
                <w:sz w:val="24"/>
                <w:szCs w:val="24"/>
              </w:rPr>
            </w:pPr>
            <w:r w:rsidRPr="0076712B">
              <w:rPr>
                <w:sz w:val="24"/>
                <w:szCs w:val="24"/>
              </w:rPr>
              <w:t xml:space="preserve">Код характера сделки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17</w:t>
            </w:r>
          </w:p>
        </w:tc>
        <w:tc>
          <w:tcPr>
            <w:tcW w:w="8363" w:type="dxa"/>
            <w:shd w:val="clear" w:color="auto" w:fill="auto"/>
            <w:noWrap/>
            <w:hideMark/>
          </w:tcPr>
          <w:p w:rsidR="00180124" w:rsidRPr="0076712B" w:rsidRDefault="00180124" w:rsidP="005A79FB">
            <w:pPr>
              <w:rPr>
                <w:sz w:val="24"/>
                <w:szCs w:val="24"/>
              </w:rPr>
            </w:pPr>
            <w:r w:rsidRPr="0076712B">
              <w:rPr>
                <w:sz w:val="24"/>
                <w:szCs w:val="24"/>
              </w:rPr>
              <w:t xml:space="preserve">Код применяемой формы расчетов за декларируемые товары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18</w:t>
            </w:r>
          </w:p>
        </w:tc>
        <w:tc>
          <w:tcPr>
            <w:tcW w:w="8363" w:type="dxa"/>
            <w:shd w:val="clear" w:color="auto" w:fill="auto"/>
            <w:noWrap/>
            <w:hideMark/>
          </w:tcPr>
          <w:p w:rsidR="00180124" w:rsidRPr="0076712B" w:rsidRDefault="00180124" w:rsidP="005A79FB">
            <w:pPr>
              <w:rPr>
                <w:sz w:val="24"/>
                <w:szCs w:val="24"/>
              </w:rPr>
            </w:pPr>
            <w:r w:rsidRPr="0076712B">
              <w:rPr>
                <w:sz w:val="24"/>
                <w:szCs w:val="24"/>
              </w:rPr>
              <w:t xml:space="preserve">Буквенно-цифровой код таможенной процедуры </w:t>
            </w:r>
          </w:p>
        </w:tc>
      </w:tr>
      <w:tr w:rsidR="00180124" w:rsidRPr="009F3BCC" w:rsidTr="00586D22">
        <w:trPr>
          <w:trHeight w:val="315"/>
        </w:trPr>
        <w:tc>
          <w:tcPr>
            <w:tcW w:w="993" w:type="dxa"/>
            <w:shd w:val="clear" w:color="auto" w:fill="auto"/>
            <w:noWrap/>
            <w:hideMark/>
          </w:tcPr>
          <w:p w:rsidR="00180124" w:rsidRPr="009F3BCC" w:rsidRDefault="00180124" w:rsidP="00586D22">
            <w:pPr>
              <w:jc w:val="center"/>
              <w:rPr>
                <w:sz w:val="24"/>
                <w:szCs w:val="24"/>
              </w:rPr>
            </w:pPr>
            <w:r w:rsidRPr="009F3BCC">
              <w:rPr>
                <w:sz w:val="24"/>
                <w:szCs w:val="24"/>
              </w:rPr>
              <w:t>19</w:t>
            </w:r>
          </w:p>
        </w:tc>
        <w:tc>
          <w:tcPr>
            <w:tcW w:w="8363" w:type="dxa"/>
            <w:shd w:val="clear" w:color="auto" w:fill="auto"/>
            <w:noWrap/>
            <w:hideMark/>
          </w:tcPr>
          <w:p w:rsidR="00180124" w:rsidRPr="0076712B" w:rsidRDefault="00180124" w:rsidP="00586D22">
            <w:pPr>
              <w:rPr>
                <w:sz w:val="24"/>
                <w:szCs w:val="24"/>
              </w:rPr>
            </w:pPr>
            <w:r w:rsidRPr="0076712B">
              <w:rPr>
                <w:sz w:val="24"/>
                <w:szCs w:val="24"/>
              </w:rPr>
              <w:t xml:space="preserve">Дата приема таможенной декларации </w:t>
            </w:r>
            <w:r w:rsidR="005A79FB" w:rsidRPr="00EB3362">
              <w:rPr>
                <w:sz w:val="24"/>
                <w:szCs w:val="24"/>
              </w:rPr>
              <w:t>(в формате ДД.ММ.ГГГГ)</w:t>
            </w:r>
          </w:p>
        </w:tc>
      </w:tr>
    </w:tbl>
    <w:p w:rsidR="00180124" w:rsidRDefault="001F25FA" w:rsidP="00180124">
      <w:pPr>
        <w:ind w:right="-2" w:firstLine="851"/>
        <w:jc w:val="both"/>
        <w:rPr>
          <w:sz w:val="24"/>
          <w:szCs w:val="24"/>
        </w:rPr>
      </w:pPr>
      <w:r>
        <w:rPr>
          <w:sz w:val="24"/>
          <w:szCs w:val="24"/>
        </w:rPr>
        <w:t>Примечания:</w:t>
      </w:r>
    </w:p>
    <w:p w:rsidR="00180124" w:rsidRDefault="001F25FA" w:rsidP="00180124">
      <w:pPr>
        <w:ind w:right="-2" w:firstLine="851"/>
        <w:jc w:val="both"/>
        <w:rPr>
          <w:sz w:val="24"/>
          <w:szCs w:val="24"/>
        </w:rPr>
      </w:pPr>
      <w:r>
        <w:rPr>
          <w:sz w:val="24"/>
          <w:szCs w:val="24"/>
        </w:rPr>
        <w:t xml:space="preserve">1) </w:t>
      </w:r>
      <w:r w:rsidR="00180124" w:rsidRPr="009F3BCC">
        <w:rPr>
          <w:sz w:val="24"/>
          <w:szCs w:val="24"/>
        </w:rPr>
        <w:t>* заполняется в соответствии с Приложением N 2 к Приказу Государственного таможенного комитета Приднестровской Молдавской Республики и Приднестровского республиканского банка от 1 сентября 2010 года N 194/01-05/90 «Об утверждении классификатора валют и классификатора стран мира (территорий)» (регистрационный N 5403 от 5 октября 2010 года) (САЗ 10-40)</w:t>
      </w:r>
      <w:r>
        <w:rPr>
          <w:sz w:val="24"/>
          <w:szCs w:val="24"/>
        </w:rPr>
        <w:t>;</w:t>
      </w:r>
    </w:p>
    <w:p w:rsidR="00633D38" w:rsidRPr="007C35AB" w:rsidRDefault="001F25FA">
      <w:pPr>
        <w:ind w:right="-2" w:firstLine="851"/>
        <w:jc w:val="both"/>
        <w:rPr>
          <w:sz w:val="24"/>
          <w:szCs w:val="24"/>
        </w:rPr>
      </w:pPr>
      <w:r w:rsidRPr="00EB3362">
        <w:rPr>
          <w:sz w:val="24"/>
          <w:szCs w:val="24"/>
        </w:rPr>
        <w:t xml:space="preserve">2) </w:t>
      </w:r>
      <w:r w:rsidR="00EB3362">
        <w:rPr>
          <w:sz w:val="24"/>
          <w:szCs w:val="24"/>
        </w:rPr>
        <w:t>и</w:t>
      </w:r>
      <w:r w:rsidR="00633D38" w:rsidRPr="00EB3362">
        <w:rPr>
          <w:sz w:val="24"/>
          <w:szCs w:val="24"/>
        </w:rPr>
        <w:t xml:space="preserve">нформация предоставляется в </w:t>
      </w:r>
      <w:r w:rsidRPr="00EB3362">
        <w:rPr>
          <w:sz w:val="24"/>
          <w:szCs w:val="24"/>
        </w:rPr>
        <w:t>заданном</w:t>
      </w:r>
      <w:r w:rsidR="00633D38" w:rsidRPr="00EB3362">
        <w:rPr>
          <w:sz w:val="24"/>
          <w:szCs w:val="24"/>
        </w:rPr>
        <w:t xml:space="preserve"> диапазоне на дату запроса</w:t>
      </w:r>
      <w:r w:rsidRPr="00EB3362">
        <w:rPr>
          <w:sz w:val="24"/>
          <w:szCs w:val="24"/>
        </w:rPr>
        <w:t>.</w:t>
      </w:r>
    </w:p>
    <w:sectPr w:rsidR="00633D38" w:rsidRPr="007C35AB" w:rsidSect="00CA73BC">
      <w:headerReference w:type="default" r:id="rId11"/>
      <w:pgSz w:w="11906" w:h="16838" w:code="9"/>
      <w:pgMar w:top="709" w:right="707" w:bottom="709" w:left="1276" w:header="39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27" w:rsidRDefault="00F05A27">
      <w:r>
        <w:separator/>
      </w:r>
    </w:p>
  </w:endnote>
  <w:endnote w:type="continuationSeparator" w:id="1">
    <w:p w:rsidR="00F05A27" w:rsidRDefault="00F0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27" w:rsidRDefault="00F05A27">
      <w:r>
        <w:separator/>
      </w:r>
    </w:p>
  </w:footnote>
  <w:footnote w:type="continuationSeparator" w:id="1">
    <w:p w:rsidR="00F05A27" w:rsidRDefault="00F0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6" w:rsidRDefault="00452AB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B2C"/>
    <w:multiLevelType w:val="hybridMultilevel"/>
    <w:tmpl w:val="815C158C"/>
    <w:lvl w:ilvl="0" w:tplc="3AC88936">
      <w:start w:val="1"/>
      <w:numFmt w:val="decimal"/>
      <w:lvlText w:val="%1."/>
      <w:lvlJc w:val="left"/>
      <w:pPr>
        <w:ind w:left="1154" w:hanging="360"/>
      </w:pPr>
      <w:rPr>
        <w:rFonts w:hint="default"/>
        <w:color w:val="000000"/>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46EAE"/>
    <w:rsid w:val="00006F94"/>
    <w:rsid w:val="00031A54"/>
    <w:rsid w:val="00035F77"/>
    <w:rsid w:val="000538C0"/>
    <w:rsid w:val="000720AD"/>
    <w:rsid w:val="000817DC"/>
    <w:rsid w:val="000920BB"/>
    <w:rsid w:val="000D1008"/>
    <w:rsid w:val="000F7C64"/>
    <w:rsid w:val="00106E85"/>
    <w:rsid w:val="00110AC1"/>
    <w:rsid w:val="00124D42"/>
    <w:rsid w:val="00125EEE"/>
    <w:rsid w:val="00134111"/>
    <w:rsid w:val="00136D76"/>
    <w:rsid w:val="00180124"/>
    <w:rsid w:val="001815B0"/>
    <w:rsid w:val="001A3485"/>
    <w:rsid w:val="001A7724"/>
    <w:rsid w:val="001E612D"/>
    <w:rsid w:val="001F25FA"/>
    <w:rsid w:val="001F421F"/>
    <w:rsid w:val="002362A4"/>
    <w:rsid w:val="002732E7"/>
    <w:rsid w:val="002816F8"/>
    <w:rsid w:val="002D60FE"/>
    <w:rsid w:val="002E2449"/>
    <w:rsid w:val="003205A7"/>
    <w:rsid w:val="003A1E50"/>
    <w:rsid w:val="003B6F51"/>
    <w:rsid w:val="003C6535"/>
    <w:rsid w:val="003C766E"/>
    <w:rsid w:val="003F1031"/>
    <w:rsid w:val="003F2E54"/>
    <w:rsid w:val="003F6238"/>
    <w:rsid w:val="00401509"/>
    <w:rsid w:val="0040364F"/>
    <w:rsid w:val="0043286A"/>
    <w:rsid w:val="004410D2"/>
    <w:rsid w:val="00452AB6"/>
    <w:rsid w:val="00471873"/>
    <w:rsid w:val="00480117"/>
    <w:rsid w:val="004B750A"/>
    <w:rsid w:val="004C4AEE"/>
    <w:rsid w:val="004D01E1"/>
    <w:rsid w:val="004D7D33"/>
    <w:rsid w:val="004E6F70"/>
    <w:rsid w:val="00511D19"/>
    <w:rsid w:val="005121A8"/>
    <w:rsid w:val="00515E2C"/>
    <w:rsid w:val="00515FC9"/>
    <w:rsid w:val="005207C2"/>
    <w:rsid w:val="00526F42"/>
    <w:rsid w:val="0054128F"/>
    <w:rsid w:val="00586D22"/>
    <w:rsid w:val="005A79FB"/>
    <w:rsid w:val="005B0415"/>
    <w:rsid w:val="005C7A95"/>
    <w:rsid w:val="005E0C6C"/>
    <w:rsid w:val="00631EAF"/>
    <w:rsid w:val="00632ACF"/>
    <w:rsid w:val="00633D38"/>
    <w:rsid w:val="00691307"/>
    <w:rsid w:val="00696521"/>
    <w:rsid w:val="006A0F64"/>
    <w:rsid w:val="006A2416"/>
    <w:rsid w:val="006A5EC1"/>
    <w:rsid w:val="006A7A21"/>
    <w:rsid w:val="006B6CCF"/>
    <w:rsid w:val="006C61A5"/>
    <w:rsid w:val="006D4E54"/>
    <w:rsid w:val="006D7EC2"/>
    <w:rsid w:val="006E05A1"/>
    <w:rsid w:val="00746EAE"/>
    <w:rsid w:val="00750B04"/>
    <w:rsid w:val="007538C6"/>
    <w:rsid w:val="00753A1F"/>
    <w:rsid w:val="00764D62"/>
    <w:rsid w:val="0076712B"/>
    <w:rsid w:val="00784350"/>
    <w:rsid w:val="00785DF6"/>
    <w:rsid w:val="007875E1"/>
    <w:rsid w:val="007C35AB"/>
    <w:rsid w:val="007D2341"/>
    <w:rsid w:val="007F3D7F"/>
    <w:rsid w:val="007F6262"/>
    <w:rsid w:val="0080071F"/>
    <w:rsid w:val="008013C2"/>
    <w:rsid w:val="00815983"/>
    <w:rsid w:val="00872CD3"/>
    <w:rsid w:val="008765C0"/>
    <w:rsid w:val="00897773"/>
    <w:rsid w:val="008A087D"/>
    <w:rsid w:val="008E2EC1"/>
    <w:rsid w:val="008E7D5E"/>
    <w:rsid w:val="008F44AD"/>
    <w:rsid w:val="009217D5"/>
    <w:rsid w:val="009865D7"/>
    <w:rsid w:val="009D0B32"/>
    <w:rsid w:val="009E24E7"/>
    <w:rsid w:val="009F3BCC"/>
    <w:rsid w:val="00A11372"/>
    <w:rsid w:val="00A23D7B"/>
    <w:rsid w:val="00A762AC"/>
    <w:rsid w:val="00A84098"/>
    <w:rsid w:val="00A87DC7"/>
    <w:rsid w:val="00A932F4"/>
    <w:rsid w:val="00AB24F6"/>
    <w:rsid w:val="00AB451E"/>
    <w:rsid w:val="00AC4F14"/>
    <w:rsid w:val="00AC5212"/>
    <w:rsid w:val="00AF3F58"/>
    <w:rsid w:val="00B47D95"/>
    <w:rsid w:val="00B621CA"/>
    <w:rsid w:val="00B66120"/>
    <w:rsid w:val="00BA6290"/>
    <w:rsid w:val="00BC1CB3"/>
    <w:rsid w:val="00BC5FB0"/>
    <w:rsid w:val="00BD6E4E"/>
    <w:rsid w:val="00BE519C"/>
    <w:rsid w:val="00BE5F7C"/>
    <w:rsid w:val="00BF265C"/>
    <w:rsid w:val="00C6040B"/>
    <w:rsid w:val="00C62E87"/>
    <w:rsid w:val="00C7291C"/>
    <w:rsid w:val="00CA4E71"/>
    <w:rsid w:val="00CA73BC"/>
    <w:rsid w:val="00CD106A"/>
    <w:rsid w:val="00CD5532"/>
    <w:rsid w:val="00CF103C"/>
    <w:rsid w:val="00D13A70"/>
    <w:rsid w:val="00D61BD6"/>
    <w:rsid w:val="00D70D77"/>
    <w:rsid w:val="00D77428"/>
    <w:rsid w:val="00DC3904"/>
    <w:rsid w:val="00DD4186"/>
    <w:rsid w:val="00DF6C18"/>
    <w:rsid w:val="00E56BEF"/>
    <w:rsid w:val="00E57323"/>
    <w:rsid w:val="00E57D45"/>
    <w:rsid w:val="00E7775D"/>
    <w:rsid w:val="00E9394F"/>
    <w:rsid w:val="00EA2293"/>
    <w:rsid w:val="00EB3362"/>
    <w:rsid w:val="00ED4336"/>
    <w:rsid w:val="00EF1F08"/>
    <w:rsid w:val="00F0225C"/>
    <w:rsid w:val="00F05A27"/>
    <w:rsid w:val="00F27E44"/>
    <w:rsid w:val="00F423F7"/>
    <w:rsid w:val="00FA0594"/>
    <w:rsid w:val="00FA0E1D"/>
    <w:rsid w:val="00FA6EF6"/>
    <w:rsid w:val="00FC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0A"/>
  </w:style>
  <w:style w:type="paragraph" w:styleId="1">
    <w:name w:val="heading 1"/>
    <w:basedOn w:val="a"/>
    <w:next w:val="a"/>
    <w:qFormat/>
    <w:rsid w:val="004B750A"/>
    <w:pPr>
      <w:keepNext/>
      <w:outlineLvl w:val="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750A"/>
    <w:pPr>
      <w:tabs>
        <w:tab w:val="center" w:pos="4153"/>
        <w:tab w:val="right" w:pos="8306"/>
      </w:tabs>
    </w:pPr>
  </w:style>
  <w:style w:type="paragraph" w:customStyle="1" w:styleId="Iauiue">
    <w:name w:val="Iau?iue"/>
    <w:rsid w:val="004B750A"/>
  </w:style>
  <w:style w:type="paragraph" w:customStyle="1" w:styleId="caaieiaie1">
    <w:name w:val="caaieiaie 1"/>
    <w:basedOn w:val="Iauiue"/>
    <w:next w:val="Iauiue"/>
    <w:rsid w:val="004B750A"/>
    <w:pPr>
      <w:keepNext/>
    </w:pPr>
    <w:rPr>
      <w:sz w:val="24"/>
      <w:lang w:val="en-US"/>
    </w:rPr>
  </w:style>
  <w:style w:type="paragraph" w:customStyle="1" w:styleId="Aaoieeeieiioeooe">
    <w:name w:val="Aa?oiee eieiioeooe"/>
    <w:basedOn w:val="Iauiue"/>
    <w:rsid w:val="004B750A"/>
    <w:pPr>
      <w:tabs>
        <w:tab w:val="center" w:pos="4153"/>
        <w:tab w:val="right" w:pos="8306"/>
      </w:tabs>
    </w:pPr>
  </w:style>
  <w:style w:type="paragraph" w:styleId="a4">
    <w:name w:val="footer"/>
    <w:basedOn w:val="a"/>
    <w:rsid w:val="006A0F64"/>
    <w:pPr>
      <w:tabs>
        <w:tab w:val="center" w:pos="4677"/>
        <w:tab w:val="right" w:pos="9355"/>
      </w:tabs>
    </w:pPr>
  </w:style>
  <w:style w:type="character" w:styleId="a5">
    <w:name w:val="Hyperlink"/>
    <w:basedOn w:val="a0"/>
    <w:rsid w:val="002D60FE"/>
    <w:rPr>
      <w:color w:val="0000FF"/>
      <w:u w:val="single"/>
    </w:rPr>
  </w:style>
  <w:style w:type="character" w:styleId="a6">
    <w:name w:val="FollowedHyperlink"/>
    <w:basedOn w:val="a0"/>
    <w:rsid w:val="00632ACF"/>
    <w:rPr>
      <w:color w:val="800080"/>
      <w:u w:val="single"/>
    </w:rPr>
  </w:style>
  <w:style w:type="paragraph" w:styleId="a7">
    <w:name w:val="Body Text"/>
    <w:basedOn w:val="a"/>
    <w:link w:val="a8"/>
    <w:rsid w:val="00136D76"/>
    <w:pPr>
      <w:ind w:right="283"/>
      <w:jc w:val="both"/>
    </w:pPr>
    <w:rPr>
      <w:spacing w:val="3"/>
      <w:sz w:val="24"/>
    </w:rPr>
  </w:style>
  <w:style w:type="character" w:customStyle="1" w:styleId="a8">
    <w:name w:val="Основной текст Знак"/>
    <w:basedOn w:val="a0"/>
    <w:link w:val="a7"/>
    <w:rsid w:val="00136D76"/>
    <w:rPr>
      <w:spacing w:val="3"/>
      <w:sz w:val="24"/>
    </w:rPr>
  </w:style>
  <w:style w:type="paragraph" w:styleId="3">
    <w:name w:val="Body Text 3"/>
    <w:basedOn w:val="a"/>
    <w:link w:val="30"/>
    <w:uiPriority w:val="99"/>
    <w:unhideWhenUsed/>
    <w:rsid w:val="00136D76"/>
    <w:pPr>
      <w:spacing w:after="120" w:line="276" w:lineRule="auto"/>
    </w:pPr>
    <w:rPr>
      <w:rFonts w:eastAsiaTheme="minorHAnsi"/>
      <w:snapToGrid w:val="0"/>
      <w:sz w:val="16"/>
      <w:szCs w:val="16"/>
      <w:lang w:eastAsia="en-US"/>
    </w:rPr>
  </w:style>
  <w:style w:type="character" w:customStyle="1" w:styleId="30">
    <w:name w:val="Основной текст 3 Знак"/>
    <w:basedOn w:val="a0"/>
    <w:link w:val="3"/>
    <w:uiPriority w:val="99"/>
    <w:rsid w:val="00136D76"/>
    <w:rPr>
      <w:rFonts w:eastAsiaTheme="minorHAnsi"/>
      <w:snapToGrid w:val="0"/>
      <w:sz w:val="16"/>
      <w:szCs w:val="16"/>
      <w:lang w:eastAsia="en-US"/>
    </w:rPr>
  </w:style>
  <w:style w:type="paragraph" w:styleId="a9">
    <w:name w:val="List Paragraph"/>
    <w:basedOn w:val="a"/>
    <w:uiPriority w:val="34"/>
    <w:qFormat/>
    <w:rsid w:val="00136D76"/>
    <w:pPr>
      <w:ind w:left="720"/>
      <w:contextualSpacing/>
    </w:pPr>
    <w:rPr>
      <w:sz w:val="24"/>
      <w:szCs w:val="24"/>
    </w:rPr>
  </w:style>
  <w:style w:type="paragraph" w:styleId="aa">
    <w:name w:val="Balloon Text"/>
    <w:basedOn w:val="a"/>
    <w:link w:val="ab"/>
    <w:rsid w:val="00CD5532"/>
    <w:rPr>
      <w:rFonts w:ascii="Tahoma" w:hAnsi="Tahoma" w:cs="Tahoma"/>
      <w:sz w:val="16"/>
      <w:szCs w:val="16"/>
    </w:rPr>
  </w:style>
  <w:style w:type="character" w:customStyle="1" w:styleId="ab">
    <w:name w:val="Текст выноски Знак"/>
    <w:basedOn w:val="a0"/>
    <w:link w:val="aa"/>
    <w:rsid w:val="00CD5532"/>
    <w:rPr>
      <w:rFonts w:ascii="Tahoma" w:hAnsi="Tahoma" w:cs="Tahoma"/>
      <w:sz w:val="16"/>
      <w:szCs w:val="16"/>
    </w:rPr>
  </w:style>
  <w:style w:type="paragraph" w:styleId="ac">
    <w:name w:val="Plain Text"/>
    <w:basedOn w:val="a"/>
    <w:link w:val="ad"/>
    <w:uiPriority w:val="99"/>
    <w:unhideWhenUsed/>
    <w:rsid w:val="00B66120"/>
    <w:rPr>
      <w:rFonts w:ascii="Consolas" w:eastAsiaTheme="minorHAnsi" w:hAnsi="Consolas" w:cstheme="minorBidi"/>
      <w:sz w:val="21"/>
      <w:szCs w:val="21"/>
      <w:lang w:eastAsia="en-US"/>
    </w:rPr>
  </w:style>
  <w:style w:type="character" w:customStyle="1" w:styleId="ad">
    <w:name w:val="Текст Знак"/>
    <w:basedOn w:val="a0"/>
    <w:link w:val="ac"/>
    <w:uiPriority w:val="99"/>
    <w:rsid w:val="00B66120"/>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47539727">
      <w:bodyDiv w:val="1"/>
      <w:marLeft w:val="0"/>
      <w:marRight w:val="0"/>
      <w:marTop w:val="0"/>
      <w:marBottom w:val="0"/>
      <w:divBdr>
        <w:top w:val="none" w:sz="0" w:space="0" w:color="auto"/>
        <w:left w:val="none" w:sz="0" w:space="0" w:color="auto"/>
        <w:bottom w:val="none" w:sz="0" w:space="0" w:color="auto"/>
        <w:right w:val="none" w:sz="0" w:space="0" w:color="auto"/>
      </w:divBdr>
    </w:div>
    <w:div w:id="1453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7;&#1072;&#1082;&#1086;&#1085;&#1099;%20&#1055;&#1052;&#1056;/&#1047;&#1086;&#1062;&#1041;%20&#1055;&#1052;&#1056;/&#1047;&#1086;&#1062;&#1041;%20&#1055;&#1052;&#1056;.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1057;&#1087;&#1088;&#1072;&#1074;&#1086;&#1095;&#1085;&#1099;&#1077;%20&#1084;&#1072;&#1090;&#1077;&#1088;&#1080;&#1072;&#1083;&#1099;/&#1044;&#1072;&#1090;&#1099;%20&#1057;&#1040;&#1047;&#1086;&#1074;.doc" TargetMode="External"/><Relationship Id="rId4" Type="http://schemas.openxmlformats.org/officeDocument/2006/relationships/webSettings" Target="webSettings.xml"/><Relationship Id="rId9" Type="http://schemas.openxmlformats.org/officeDocument/2006/relationships/hyperlink" Target="../../&#1048;&#1085;&#1089;&#1090;&#1088;&#1091;&#1082;&#1094;&#1080;&#1080;/2010/31/N%2031-&#1048;%20&#1086;&#1090;%2009.07.201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11943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БАНКА РЕПУБЛИКАНЭ</vt:lpstr>
    </vt:vector>
  </TitlesOfParts>
  <Company>ПРЕСС ПРБ</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creator>u083</dc:creator>
  <cp:lastModifiedBy>u083</cp:lastModifiedBy>
  <cp:revision>4</cp:revision>
  <cp:lastPrinted>2019-09-12T14:14:00Z</cp:lastPrinted>
  <dcterms:created xsi:type="dcterms:W3CDTF">2019-10-30T07:42:00Z</dcterms:created>
  <dcterms:modified xsi:type="dcterms:W3CDTF">2019-10-30T07:57:00Z</dcterms:modified>
</cp:coreProperties>
</file>