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jc w:val="center"/>
        <w:tblLayout w:type="fixed"/>
        <w:tblLook w:val="0000"/>
      </w:tblPr>
      <w:tblGrid>
        <w:gridCol w:w="4219"/>
        <w:gridCol w:w="1418"/>
        <w:gridCol w:w="4071"/>
      </w:tblGrid>
      <w:tr w:rsidR="0003534C" w:rsidRPr="008E3A84" w:rsidTr="00C93766">
        <w:trPr>
          <w:jc w:val="center"/>
        </w:trPr>
        <w:tc>
          <w:tcPr>
            <w:tcW w:w="4219" w:type="dxa"/>
            <w:vAlign w:val="center"/>
          </w:tcPr>
          <w:p w:rsidR="0003534C" w:rsidRPr="008E3A84" w:rsidRDefault="0003534C" w:rsidP="00A62779">
            <w:pPr>
              <w:pStyle w:val="1"/>
              <w:jc w:val="center"/>
              <w:rPr>
                <w:rFonts w:ascii="Times New Roman" w:hAnsi="Times New Roman"/>
              </w:rPr>
            </w:pPr>
            <w:r w:rsidRPr="008E3A84">
              <w:rPr>
                <w:rFonts w:ascii="Times New Roman" w:hAnsi="Times New Roman"/>
                <w:sz w:val="22"/>
              </w:rPr>
              <w:t>БАНКА РЕПУБЛИКАНЭ</w:t>
            </w:r>
          </w:p>
          <w:p w:rsidR="0003534C" w:rsidRPr="008E3A84" w:rsidRDefault="0003534C" w:rsidP="00A62779">
            <w:pPr>
              <w:jc w:val="center"/>
            </w:pPr>
            <w:r w:rsidRPr="008E3A84">
              <w:rPr>
                <w:sz w:val="22"/>
              </w:rPr>
              <w:t>НИСТРЯНЭ</w:t>
            </w:r>
          </w:p>
          <w:p w:rsidR="0003534C" w:rsidRPr="008E3A84" w:rsidRDefault="0003534C" w:rsidP="00A62779">
            <w:pPr>
              <w:pStyle w:val="a5"/>
              <w:tabs>
                <w:tab w:val="left" w:pos="708"/>
              </w:tabs>
              <w:jc w:val="center"/>
              <w:rPr>
                <w:sz w:val="22"/>
              </w:rPr>
            </w:pPr>
          </w:p>
        </w:tc>
        <w:tc>
          <w:tcPr>
            <w:tcW w:w="1418" w:type="dxa"/>
          </w:tcPr>
          <w:p w:rsidR="0003534C" w:rsidRPr="008E3A84" w:rsidRDefault="0003534C" w:rsidP="00A62779">
            <w:pPr>
              <w:ind w:left="-250" w:right="176" w:firstLine="250"/>
              <w:jc w:val="center"/>
            </w:pPr>
            <w:r w:rsidRPr="008E3A84">
              <w:rPr>
                <w:noProof/>
                <w:sz w:val="26"/>
                <w:szCs w:val="26"/>
              </w:rPr>
              <w:drawing>
                <wp:inline distT="0" distB="0" distL="0" distR="0">
                  <wp:extent cx="654050" cy="711200"/>
                  <wp:effectExtent l="0" t="0" r="0" b="0"/>
                  <wp:docPr id="3" name="Рисунок 3"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050" cy="711200"/>
                          </a:xfrm>
                          <a:prstGeom prst="rect">
                            <a:avLst/>
                          </a:prstGeom>
                          <a:noFill/>
                          <a:ln>
                            <a:noFill/>
                          </a:ln>
                        </pic:spPr>
                      </pic:pic>
                    </a:graphicData>
                  </a:graphic>
                </wp:inline>
              </w:drawing>
            </w:r>
          </w:p>
        </w:tc>
        <w:tc>
          <w:tcPr>
            <w:tcW w:w="4071" w:type="dxa"/>
            <w:vAlign w:val="center"/>
          </w:tcPr>
          <w:p w:rsidR="0003534C" w:rsidRPr="008E3A84" w:rsidRDefault="0003534C" w:rsidP="00A62779">
            <w:pPr>
              <w:pStyle w:val="1"/>
              <w:jc w:val="center"/>
              <w:rPr>
                <w:rFonts w:ascii="Times New Roman" w:hAnsi="Times New Roman"/>
              </w:rPr>
            </w:pPr>
            <w:r w:rsidRPr="008E3A84">
              <w:rPr>
                <w:rFonts w:ascii="Times New Roman" w:hAnsi="Times New Roman"/>
                <w:sz w:val="22"/>
              </w:rPr>
              <w:t>ПРИДНIСТРОВСЬКИЙ</w:t>
            </w:r>
          </w:p>
          <w:p w:rsidR="0003534C" w:rsidRPr="008E3A84" w:rsidRDefault="0003534C" w:rsidP="00A62779">
            <w:pPr>
              <w:pStyle w:val="1"/>
              <w:jc w:val="center"/>
              <w:rPr>
                <w:rFonts w:ascii="Times New Roman" w:hAnsi="Times New Roman"/>
              </w:rPr>
            </w:pPr>
            <w:r w:rsidRPr="008E3A84">
              <w:rPr>
                <w:rFonts w:ascii="Times New Roman" w:hAnsi="Times New Roman"/>
                <w:sz w:val="22"/>
              </w:rPr>
              <w:t>РЕСПУБЛIКАНСЬКИЙ БАНК</w:t>
            </w:r>
          </w:p>
          <w:p w:rsidR="0003534C" w:rsidRPr="008E3A84" w:rsidRDefault="0003534C" w:rsidP="00A62779">
            <w:pPr>
              <w:jc w:val="center"/>
            </w:pPr>
          </w:p>
        </w:tc>
      </w:tr>
      <w:tr w:rsidR="0003534C" w:rsidRPr="008E3A84" w:rsidTr="00C93766">
        <w:trPr>
          <w:cantSplit/>
          <w:jc w:val="center"/>
        </w:trPr>
        <w:tc>
          <w:tcPr>
            <w:tcW w:w="9708" w:type="dxa"/>
            <w:gridSpan w:val="3"/>
          </w:tcPr>
          <w:p w:rsidR="0003534C" w:rsidRPr="008E3A84" w:rsidRDefault="0003534C" w:rsidP="00A62779">
            <w:pPr>
              <w:pStyle w:val="1"/>
              <w:spacing w:before="120"/>
              <w:jc w:val="center"/>
              <w:rPr>
                <w:rFonts w:ascii="Times New Roman" w:hAnsi="Times New Roman"/>
                <w:sz w:val="18"/>
                <w:szCs w:val="18"/>
              </w:rPr>
            </w:pPr>
          </w:p>
          <w:p w:rsidR="0003534C" w:rsidRPr="008E3A84" w:rsidRDefault="0003534C" w:rsidP="00A62779">
            <w:pPr>
              <w:pStyle w:val="1"/>
              <w:spacing w:before="120"/>
              <w:jc w:val="center"/>
              <w:rPr>
                <w:rFonts w:ascii="Times New Roman" w:hAnsi="Times New Roman"/>
              </w:rPr>
            </w:pPr>
            <w:r w:rsidRPr="008E3A84">
              <w:rPr>
                <w:rFonts w:ascii="Times New Roman" w:hAnsi="Times New Roman"/>
                <w:sz w:val="22"/>
              </w:rPr>
              <w:t>ПРИДНЕСТРОВСКИЙ РЕСПУБЛИКАНСКИЙ</w:t>
            </w:r>
          </w:p>
          <w:p w:rsidR="0003534C" w:rsidRPr="008E3A84" w:rsidRDefault="0003534C" w:rsidP="00127475">
            <w:pPr>
              <w:pStyle w:val="1"/>
              <w:spacing w:line="360" w:lineRule="auto"/>
              <w:ind w:hanging="2"/>
              <w:jc w:val="center"/>
              <w:rPr>
                <w:rFonts w:ascii="Times New Roman" w:hAnsi="Times New Roman"/>
              </w:rPr>
            </w:pPr>
            <w:r w:rsidRPr="008E3A84">
              <w:rPr>
                <w:rFonts w:ascii="Times New Roman" w:hAnsi="Times New Roman"/>
                <w:sz w:val="22"/>
              </w:rPr>
              <w:t>БАНК</w:t>
            </w:r>
          </w:p>
          <w:p w:rsidR="0003534C" w:rsidRPr="008E3A84" w:rsidRDefault="0003534C" w:rsidP="00A62779">
            <w:pPr>
              <w:spacing w:line="360" w:lineRule="auto"/>
              <w:jc w:val="center"/>
            </w:pPr>
          </w:p>
        </w:tc>
      </w:tr>
    </w:tbl>
    <w:p w:rsidR="0003534C" w:rsidRPr="008E3A84" w:rsidRDefault="0003534C" w:rsidP="00AF65B8">
      <w:pPr>
        <w:pStyle w:val="a3"/>
        <w:ind w:firstLine="709"/>
        <w:rPr>
          <w:rFonts w:ascii="Times New Roman" w:hAnsi="Times New Roman"/>
          <w:b/>
          <w:color w:val="auto"/>
        </w:rPr>
      </w:pPr>
    </w:p>
    <w:p w:rsidR="005B4094" w:rsidRPr="00127475" w:rsidRDefault="005B4094" w:rsidP="00127475">
      <w:pPr>
        <w:pStyle w:val="a3"/>
        <w:ind w:firstLine="284"/>
        <w:rPr>
          <w:rFonts w:ascii="Times New Roman" w:hAnsi="Times New Roman"/>
          <w:color w:val="auto"/>
        </w:rPr>
      </w:pPr>
      <w:r w:rsidRPr="00127475">
        <w:rPr>
          <w:rFonts w:ascii="Times New Roman" w:hAnsi="Times New Roman"/>
          <w:color w:val="auto"/>
        </w:rPr>
        <w:t>УКАЗАНИЕ</w:t>
      </w:r>
    </w:p>
    <w:p w:rsidR="005B4094" w:rsidRPr="008E3A84" w:rsidRDefault="005B4094" w:rsidP="005B4094">
      <w:pPr>
        <w:pStyle w:val="a3"/>
        <w:rPr>
          <w:rFonts w:ascii="Times New Roman" w:hAnsi="Times New Roman"/>
          <w:b/>
          <w:color w:val="auto"/>
          <w:sz w:val="18"/>
          <w:szCs w:val="18"/>
        </w:rPr>
      </w:pPr>
    </w:p>
    <w:p w:rsidR="00E73CC9" w:rsidRPr="008E3A84" w:rsidRDefault="00E73CC9" w:rsidP="005B4094">
      <w:pPr>
        <w:pStyle w:val="a3"/>
        <w:rPr>
          <w:rFonts w:ascii="Times New Roman" w:hAnsi="Times New Roman"/>
          <w:b/>
          <w:color w:val="auto"/>
          <w:sz w:val="18"/>
          <w:szCs w:val="18"/>
        </w:rPr>
      </w:pPr>
    </w:p>
    <w:p w:rsidR="001D29B5" w:rsidRPr="008E3A84" w:rsidRDefault="005B4094" w:rsidP="005B4094">
      <w:pPr>
        <w:ind w:firstLine="708"/>
        <w:jc w:val="center"/>
      </w:pPr>
      <w:r w:rsidRPr="008E3A84">
        <w:t>О</w:t>
      </w:r>
      <w:r w:rsidR="001D29B5" w:rsidRPr="008E3A84">
        <w:t xml:space="preserve"> внесении </w:t>
      </w:r>
      <w:r w:rsidR="00FE6737" w:rsidRPr="00904485">
        <w:t>дополнений и изменений</w:t>
      </w:r>
      <w:r w:rsidR="00E95C1D">
        <w:t xml:space="preserve"> </w:t>
      </w:r>
      <w:r w:rsidRPr="008E3A84">
        <w:t>в Инструкцию Приднестровского республиканского банка от 26 марта 2008 года N 24-И</w:t>
      </w:r>
    </w:p>
    <w:p w:rsidR="005B4094" w:rsidRPr="008E3A84" w:rsidRDefault="005B4094" w:rsidP="005B4094">
      <w:pPr>
        <w:ind w:firstLine="708"/>
        <w:jc w:val="center"/>
      </w:pPr>
      <w:r w:rsidRPr="008E3A84">
        <w:t xml:space="preserve">«О порядке представления отчетности для составления платежного баланса Приднестровской Молдавской Республики» </w:t>
      </w:r>
    </w:p>
    <w:p w:rsidR="005B4094" w:rsidRPr="008E3A84" w:rsidRDefault="005B4094" w:rsidP="005B4094">
      <w:pPr>
        <w:jc w:val="center"/>
      </w:pPr>
      <w:r w:rsidRPr="008E3A84">
        <w:t>(Регистрационный</w:t>
      </w:r>
      <w:r w:rsidR="001D29B5" w:rsidRPr="008E3A84">
        <w:t xml:space="preserve"> N 4377 от 1 апреля 2008 года) </w:t>
      </w:r>
      <w:r w:rsidRPr="008E3A84">
        <w:t>(САЗ 08-13)</w:t>
      </w:r>
    </w:p>
    <w:p w:rsidR="005B4094" w:rsidRPr="008E3A84" w:rsidRDefault="005B4094" w:rsidP="00457FEE">
      <w:pPr>
        <w:autoSpaceDE w:val="0"/>
        <w:autoSpaceDN w:val="0"/>
        <w:adjustRightInd w:val="0"/>
        <w:spacing w:before="120"/>
        <w:jc w:val="center"/>
      </w:pPr>
    </w:p>
    <w:p w:rsidR="005B4094" w:rsidRPr="008E3A84" w:rsidRDefault="005B4094" w:rsidP="00457FEE">
      <w:pPr>
        <w:jc w:val="center"/>
      </w:pPr>
      <w:r w:rsidRPr="008E3A84">
        <w:t xml:space="preserve">Утверждено </w:t>
      </w:r>
      <w:r w:rsidR="000A7C7C" w:rsidRPr="008E3A84">
        <w:t>р</w:t>
      </w:r>
      <w:r w:rsidRPr="008E3A84">
        <w:t>ешение</w:t>
      </w:r>
      <w:r w:rsidR="000A7C7C" w:rsidRPr="008E3A84">
        <w:t>м</w:t>
      </w:r>
      <w:r w:rsidRPr="008E3A84">
        <w:t xml:space="preserve"> правления</w:t>
      </w:r>
    </w:p>
    <w:p w:rsidR="005B4094" w:rsidRPr="008E3A84" w:rsidRDefault="005B4094" w:rsidP="005B4094">
      <w:pPr>
        <w:jc w:val="center"/>
      </w:pPr>
      <w:r w:rsidRPr="008E3A84">
        <w:t>Приднестровского республиканского банка</w:t>
      </w:r>
    </w:p>
    <w:p w:rsidR="005B4094" w:rsidRPr="008E3A84" w:rsidRDefault="005B4094" w:rsidP="005B4094">
      <w:pPr>
        <w:jc w:val="center"/>
      </w:pPr>
      <w:r w:rsidRPr="008E3A84">
        <w:t>Протокол N</w:t>
      </w:r>
      <w:r w:rsidR="00B75968" w:rsidRPr="008E3A84">
        <w:t>__</w:t>
      </w:r>
      <w:r w:rsidR="00A364C4" w:rsidRPr="008E3A84">
        <w:t xml:space="preserve"> от</w:t>
      </w:r>
      <w:r w:rsidR="00A543C2" w:rsidRPr="008E3A84">
        <w:t>_________</w:t>
      </w:r>
      <w:r w:rsidR="00B75968" w:rsidRPr="008E3A84">
        <w:t xml:space="preserve"> 2019</w:t>
      </w:r>
      <w:r w:rsidR="003002BD" w:rsidRPr="008E3A84">
        <w:t xml:space="preserve"> года</w:t>
      </w:r>
    </w:p>
    <w:p w:rsidR="005B4094" w:rsidRPr="008E3A84" w:rsidRDefault="005B4094" w:rsidP="005B4094">
      <w:pPr>
        <w:widowControl w:val="0"/>
        <w:rPr>
          <w:snapToGrid w:val="0"/>
        </w:rPr>
      </w:pPr>
    </w:p>
    <w:p w:rsidR="005B4094" w:rsidRPr="008E3A84" w:rsidRDefault="005B4094" w:rsidP="005B4094">
      <w:pPr>
        <w:jc w:val="center"/>
      </w:pPr>
      <w:r w:rsidRPr="008E3A84">
        <w:t>Зарегистрировано Министерством юстиции</w:t>
      </w:r>
    </w:p>
    <w:p w:rsidR="005B4094" w:rsidRPr="008E3A84" w:rsidRDefault="005B4094" w:rsidP="005B4094">
      <w:pPr>
        <w:jc w:val="center"/>
      </w:pPr>
      <w:r w:rsidRPr="008E3A84">
        <w:t>Приднестровской Молдавской Республики</w:t>
      </w:r>
      <w:r w:rsidR="00B75968" w:rsidRPr="008E3A84">
        <w:t>___________ 2019</w:t>
      </w:r>
      <w:r w:rsidR="001B293B" w:rsidRPr="008E3A84">
        <w:t xml:space="preserve"> года</w:t>
      </w:r>
    </w:p>
    <w:p w:rsidR="005B4094" w:rsidRPr="008E3A84" w:rsidRDefault="005B4094" w:rsidP="005B4094">
      <w:pPr>
        <w:jc w:val="center"/>
      </w:pPr>
      <w:r w:rsidRPr="008E3A84">
        <w:t xml:space="preserve">Регистрационный </w:t>
      </w:r>
      <w:r w:rsidRPr="008E3A84">
        <w:rPr>
          <w:lang w:val="en-US"/>
        </w:rPr>
        <w:t>N</w:t>
      </w:r>
    </w:p>
    <w:p w:rsidR="00813595" w:rsidRPr="008E3A84" w:rsidRDefault="00813595" w:rsidP="005B4094">
      <w:pPr>
        <w:jc w:val="center"/>
        <w:rPr>
          <w:snapToGrid w:val="0"/>
        </w:rPr>
      </w:pPr>
    </w:p>
    <w:p w:rsidR="00E73CC9" w:rsidRPr="008E3A84" w:rsidRDefault="00E73CC9" w:rsidP="005B4094">
      <w:pPr>
        <w:jc w:val="center"/>
        <w:rPr>
          <w:snapToGrid w:val="0"/>
        </w:rPr>
      </w:pPr>
    </w:p>
    <w:p w:rsidR="00CF0D43" w:rsidRPr="008E3A84" w:rsidRDefault="005B4094" w:rsidP="00EA2D97">
      <w:pPr>
        <w:autoSpaceDE w:val="0"/>
        <w:autoSpaceDN w:val="0"/>
        <w:adjustRightInd w:val="0"/>
        <w:ind w:firstLine="709"/>
        <w:jc w:val="both"/>
      </w:pPr>
      <w:r w:rsidRPr="008E3A84">
        <w:rPr>
          <w:snapToGrid w:val="0"/>
        </w:rPr>
        <w:t>Настоящее Указание разработано в соответствии с Законом Приднестровской Молдавской Республики от 7 мая 2007 года N 212-З-</w:t>
      </w:r>
      <w:r w:rsidRPr="008E3A84">
        <w:rPr>
          <w:snapToGrid w:val="0"/>
          <w:lang w:val="en-US"/>
        </w:rPr>
        <w:t>IV</w:t>
      </w:r>
      <w:r w:rsidRPr="008E3A84">
        <w:rPr>
          <w:snapToGrid w:val="0"/>
        </w:rPr>
        <w:t xml:space="preserve"> «О центральном банке Приднестровской Молдавской Республики» </w:t>
      </w:r>
      <w:r w:rsidRPr="008E3A84">
        <w:t>(САЗ 07-20)</w:t>
      </w:r>
      <w:r w:rsidR="008D4EC2" w:rsidRPr="008D4EC2">
        <w:t xml:space="preserve"> </w:t>
      </w:r>
      <w:r w:rsidR="0031754C" w:rsidRPr="008E3A84">
        <w:t xml:space="preserve">в </w:t>
      </w:r>
      <w:r w:rsidR="00961FEE" w:rsidRPr="008E3A84">
        <w:t>действующей</w:t>
      </w:r>
      <w:r w:rsidR="0031754C" w:rsidRPr="008E3A84">
        <w:t xml:space="preserve"> редакции</w:t>
      </w:r>
      <w:r w:rsidR="005019D6" w:rsidRPr="008E3A84">
        <w:t>.</w:t>
      </w:r>
    </w:p>
    <w:p w:rsidR="005B4094" w:rsidRPr="008E3A84" w:rsidRDefault="005B4094" w:rsidP="00EA2D97">
      <w:pPr>
        <w:keepNext/>
        <w:keepLines/>
        <w:suppressLineNumbers/>
        <w:suppressAutoHyphens/>
        <w:ind w:firstLine="709"/>
        <w:jc w:val="both"/>
      </w:pPr>
      <w:r w:rsidRPr="008E3A84">
        <w:t xml:space="preserve">1. Внести в Инструкцию Приднестровского республиканского банка от 26 марта </w:t>
      </w:r>
      <w:r w:rsidR="000670B9" w:rsidRPr="008E3A84">
        <w:br/>
      </w:r>
      <w:r w:rsidRPr="008E3A84">
        <w:t>2008 года N 24-И «О порядке представления отчетности для составления платежного баланса Приднестровской Молдавской Республики» (Регистрационный N 4377 от 1 апреля 2008 года) (САЗ 08-13) с</w:t>
      </w:r>
      <w:r w:rsidRPr="008E3A84">
        <w:rPr>
          <w:snapToGrid w:val="0"/>
        </w:rPr>
        <w:t xml:space="preserve"> изменениями и дополнениями, внесенными у</w:t>
      </w:r>
      <w:r w:rsidRPr="008E3A84">
        <w:t xml:space="preserve">казаниями Приднестровского республиканского банка </w:t>
      </w:r>
      <w:r w:rsidRPr="008E3A84">
        <w:rPr>
          <w:snapToGrid w:val="0"/>
        </w:rPr>
        <w:t>от 27 марта 2009 года N 321-У (Ре</w:t>
      </w:r>
      <w:r w:rsidR="000E0280" w:rsidRPr="008E3A84">
        <w:rPr>
          <w:snapToGrid w:val="0"/>
        </w:rPr>
        <w:t>гистрационный N 4870 от 12 июня</w:t>
      </w:r>
      <w:r w:rsidRPr="008E3A84">
        <w:rPr>
          <w:snapToGrid w:val="0"/>
        </w:rPr>
        <w:t>2009 года) (САЗ 09-24), от 15 декабря 2010 года N 425-У (Регистрацио</w:t>
      </w:r>
      <w:r w:rsidRPr="008E3A84">
        <w:t xml:space="preserve">нный N 5504 от 24 декабря 2010 года) (САЗ 10-51), от 3 марта 2011 года N 442-У (Регистрационный </w:t>
      </w:r>
      <w:r w:rsidRPr="008E3A84">
        <w:rPr>
          <w:lang w:val="en-US"/>
        </w:rPr>
        <w:t>N</w:t>
      </w:r>
      <w:r w:rsidRPr="008E3A84">
        <w:t xml:space="preserve"> 5600 от 19 апреля 2011 года) (САЗ 11-16), от 13 октября 2011 года N 486-У (Регистрационный </w:t>
      </w:r>
      <w:r w:rsidRPr="008E3A84">
        <w:rPr>
          <w:lang w:val="en-US"/>
        </w:rPr>
        <w:t>N</w:t>
      </w:r>
      <w:r w:rsidRPr="008E3A84">
        <w:t xml:space="preserve"> 5811 от 25 ноября 2011 года) (САЗ 11-47), от 28 ноября 2013 года </w:t>
      </w:r>
      <w:r w:rsidRPr="008E3A84">
        <w:rPr>
          <w:lang w:val="en-US"/>
        </w:rPr>
        <w:t>N</w:t>
      </w:r>
      <w:r w:rsidRPr="008E3A84">
        <w:t xml:space="preserve"> 734-У (Регистрационный </w:t>
      </w:r>
      <w:r w:rsidRPr="008E3A84">
        <w:rPr>
          <w:lang w:val="en-US"/>
        </w:rPr>
        <w:t>N</w:t>
      </w:r>
      <w:r w:rsidRPr="008E3A84">
        <w:t xml:space="preserve"> 6647 от 19 декабря 2013 года) (САЗ 13-50), от 17 июня 2014 года N 786-У (Регистрационный N 6843 от 19 июня 2014 года) (газета «Приднестровье» от 20 июня 2014 года N 141 (5030)), от 8 декабря </w:t>
      </w:r>
      <w:r w:rsidR="0040083E" w:rsidRPr="008E3A84">
        <w:br/>
      </w:r>
      <w:r w:rsidRPr="008E3A84">
        <w:t>2015 года N 883-У (Регистрационный N 7330 от 11 января 2016 года) (САЗ 16-2), от 15 ноября 2016 года N 940-У (Регистрационный N 7671 от 30 ноября 2016 года)</w:t>
      </w:r>
      <w:r w:rsidR="001106ED" w:rsidRPr="008E3A84">
        <w:t xml:space="preserve"> (САЗ 16-48)</w:t>
      </w:r>
      <w:r w:rsidR="000342D9" w:rsidRPr="008E3A84">
        <w:t xml:space="preserve">,от 24 октября 2017 года </w:t>
      </w:r>
      <w:r w:rsidR="000342D9" w:rsidRPr="008E3A84">
        <w:rPr>
          <w:lang w:val="en-US"/>
        </w:rPr>
        <w:t>N</w:t>
      </w:r>
      <w:r w:rsidR="000342D9" w:rsidRPr="008E3A84">
        <w:t xml:space="preserve"> 1019-У </w:t>
      </w:r>
      <w:r w:rsidR="00F33948" w:rsidRPr="008E3A84">
        <w:t>(Регистрационный N 8050</w:t>
      </w:r>
      <w:r w:rsidR="004531E9" w:rsidRPr="008E3A84">
        <w:t xml:space="preserve"> от </w:t>
      </w:r>
      <w:r w:rsidR="00F33948" w:rsidRPr="008E3A84">
        <w:t>8 декабря</w:t>
      </w:r>
      <w:r w:rsidR="004531E9" w:rsidRPr="008E3A84">
        <w:t xml:space="preserve"> 2017 го</w:t>
      </w:r>
      <w:r w:rsidR="001106ED" w:rsidRPr="008E3A84">
        <w:t>да) (САЗ 17-50</w:t>
      </w:r>
      <w:r w:rsidR="004531E9" w:rsidRPr="008E3A84">
        <w:t>)</w:t>
      </w:r>
      <w:r w:rsidR="00961FEE" w:rsidRPr="008E3A84">
        <w:t xml:space="preserve">, </w:t>
      </w:r>
      <w:hyperlink r:id="rId9" w:history="1">
        <w:r w:rsidR="000D78A3" w:rsidRPr="008E3A84">
          <w:t>от 06 июля 2018 года N 1090-У</w:t>
        </w:r>
      </w:hyperlink>
      <w:r w:rsidR="005D0600" w:rsidRPr="008E3A84">
        <w:t xml:space="preserve"> (Регистрационный N 8363 от </w:t>
      </w:r>
      <w:r w:rsidR="00074500" w:rsidRPr="008E3A84">
        <w:t>26 июля</w:t>
      </w:r>
      <w:r w:rsidR="00E203D4" w:rsidRPr="008E3A84">
        <w:t xml:space="preserve"> 2018 года</w:t>
      </w:r>
      <w:r w:rsidR="005D0600" w:rsidRPr="008E3A84">
        <w:t>)</w:t>
      </w:r>
      <w:r w:rsidR="00E203D4" w:rsidRPr="008E3A84">
        <w:t xml:space="preserve"> (САЗ </w:t>
      </w:r>
      <w:r w:rsidR="00EC0233" w:rsidRPr="008E3A84">
        <w:t>18-30)</w:t>
      </w:r>
      <w:r w:rsidR="00D9033C" w:rsidRPr="008E3A84">
        <w:t>,</w:t>
      </w:r>
      <w:hyperlink r:id="rId10" w:history="1">
        <w:r w:rsidR="000D78A3" w:rsidRPr="008E3A84">
          <w:t>от 07 декабря 2018 года N 1128-У</w:t>
        </w:r>
      </w:hyperlink>
      <w:r w:rsidR="00954066" w:rsidRPr="008E3A84">
        <w:t xml:space="preserve"> (</w:t>
      </w:r>
      <w:r w:rsidR="00B85E9C" w:rsidRPr="008E3A84">
        <w:t>Регистрационный N 8702</w:t>
      </w:r>
      <w:r w:rsidR="004C57D3" w:rsidRPr="008E3A84">
        <w:t xml:space="preserve"> от</w:t>
      </w:r>
      <w:r w:rsidR="00B85E9C" w:rsidRPr="008E3A84">
        <w:t>20февраля 2019</w:t>
      </w:r>
      <w:r w:rsidR="00E203D4" w:rsidRPr="008E3A84">
        <w:t xml:space="preserve"> года</w:t>
      </w:r>
      <w:r w:rsidR="00954066" w:rsidRPr="008E3A84">
        <w:t>)</w:t>
      </w:r>
      <w:r w:rsidR="00E203D4" w:rsidRPr="008E3A84">
        <w:t xml:space="preserve"> (САЗ </w:t>
      </w:r>
      <w:r w:rsidR="00E23163" w:rsidRPr="008E3A84">
        <w:t>19-7</w:t>
      </w:r>
      <w:r w:rsidR="00E203D4" w:rsidRPr="008E3A84">
        <w:t>)</w:t>
      </w:r>
      <w:r w:rsidR="00E23163" w:rsidRPr="008E3A84">
        <w:t xml:space="preserve">(далее </w:t>
      </w:r>
      <w:r w:rsidR="003171D8">
        <w:t xml:space="preserve">- </w:t>
      </w:r>
      <w:r w:rsidR="001106ED" w:rsidRPr="008E3A84">
        <w:t>Инструкция), следующ</w:t>
      </w:r>
      <w:r w:rsidR="005B2E35" w:rsidRPr="008E3A84">
        <w:t>ие</w:t>
      </w:r>
      <w:r w:rsidR="00E95C1D">
        <w:t xml:space="preserve"> </w:t>
      </w:r>
      <w:r w:rsidR="00FE6737" w:rsidRPr="00904485">
        <w:t>дополнения и изменения</w:t>
      </w:r>
      <w:r w:rsidRPr="00904485">
        <w:t>:</w:t>
      </w:r>
    </w:p>
    <w:p w:rsidR="00AF65B8" w:rsidRPr="008E3A84" w:rsidRDefault="00AF65B8" w:rsidP="005B4094">
      <w:pPr>
        <w:autoSpaceDE w:val="0"/>
        <w:autoSpaceDN w:val="0"/>
        <w:adjustRightInd w:val="0"/>
        <w:ind w:firstLine="709"/>
        <w:jc w:val="both"/>
      </w:pPr>
    </w:p>
    <w:p w:rsidR="0097337B" w:rsidRPr="008E3A84" w:rsidRDefault="006852FB" w:rsidP="00EA2D97">
      <w:pPr>
        <w:autoSpaceDE w:val="0"/>
        <w:autoSpaceDN w:val="0"/>
        <w:adjustRightInd w:val="0"/>
        <w:ind w:firstLine="709"/>
        <w:jc w:val="both"/>
      </w:pPr>
      <w:r w:rsidRPr="008E3A84">
        <w:t>а</w:t>
      </w:r>
      <w:r w:rsidR="009E6CB8" w:rsidRPr="008E3A84">
        <w:t>)</w:t>
      </w:r>
      <w:r w:rsidR="0097337B" w:rsidRPr="008E3A84">
        <w:t xml:space="preserve"> преамбулу к Инструкции</w:t>
      </w:r>
      <w:r w:rsidR="00E95C1D">
        <w:t xml:space="preserve"> </w:t>
      </w:r>
      <w:r w:rsidR="00AF10C0" w:rsidRPr="008E3A84">
        <w:t>после слов «для плат</w:t>
      </w:r>
      <w:r w:rsidR="00587A5F" w:rsidRPr="008E3A84">
        <w:t>е</w:t>
      </w:r>
      <w:r w:rsidR="00AF10C0" w:rsidRPr="008E3A84">
        <w:t>жного</w:t>
      </w:r>
      <w:r w:rsidR="00587A5F" w:rsidRPr="008E3A84">
        <w:t xml:space="preserve"> баланса Приднестровской Молдавской Республики»</w:t>
      </w:r>
      <w:r w:rsidR="00F033C1" w:rsidRPr="00F033C1">
        <w:t xml:space="preserve"> </w:t>
      </w:r>
      <w:r w:rsidR="0097337B" w:rsidRPr="008E3A84">
        <w:t xml:space="preserve">дополнить через запятую словами </w:t>
      </w:r>
      <w:r w:rsidR="00CA06E2" w:rsidRPr="003171D8">
        <w:t>«а также для целей валютного контроля</w:t>
      </w:r>
      <w:r w:rsidR="00FF3E47" w:rsidRPr="003171D8">
        <w:t>.»;</w:t>
      </w:r>
    </w:p>
    <w:p w:rsidR="00CC48C1" w:rsidRPr="008E3A84" w:rsidRDefault="00F04ACA" w:rsidP="00EA2D97">
      <w:pPr>
        <w:autoSpaceDE w:val="0"/>
        <w:autoSpaceDN w:val="0"/>
        <w:adjustRightInd w:val="0"/>
        <w:ind w:firstLine="709"/>
        <w:jc w:val="both"/>
      </w:pPr>
      <w:r w:rsidRPr="008E3A84">
        <w:lastRenderedPageBreak/>
        <w:t>б</w:t>
      </w:r>
      <w:r w:rsidR="00FF3E47" w:rsidRPr="008E3A84">
        <w:t xml:space="preserve">) </w:t>
      </w:r>
      <w:r w:rsidR="00587A5F" w:rsidRPr="008E3A84">
        <w:t>пункт 1 Инструкции после слов «</w:t>
      </w:r>
      <w:r w:rsidR="00CC48C1" w:rsidRPr="008E3A84">
        <w:t>платежного баланса Приднестровской Молдавской Республики» дополнить через запяту</w:t>
      </w:r>
      <w:r w:rsidR="005C0FA6" w:rsidRPr="008E3A84">
        <w:t xml:space="preserve">ю словами </w:t>
      </w:r>
      <w:r w:rsidR="00CC48C1" w:rsidRPr="008E3A84">
        <w:t>«а также для целей валютного контроля.»;</w:t>
      </w:r>
    </w:p>
    <w:p w:rsidR="002A1959" w:rsidRPr="008E3A84" w:rsidRDefault="002A1959" w:rsidP="00EA2D97">
      <w:pPr>
        <w:autoSpaceDE w:val="0"/>
        <w:autoSpaceDN w:val="0"/>
        <w:adjustRightInd w:val="0"/>
        <w:ind w:firstLine="709"/>
        <w:jc w:val="both"/>
      </w:pPr>
      <w:r w:rsidRPr="008E3A84">
        <w:t>в) пункт 7-1 Инструкции исключить;</w:t>
      </w:r>
    </w:p>
    <w:p w:rsidR="00F04ACA" w:rsidRPr="008E3A84" w:rsidRDefault="002A1959" w:rsidP="00EA2D97">
      <w:pPr>
        <w:autoSpaceDE w:val="0"/>
        <w:autoSpaceDN w:val="0"/>
        <w:adjustRightInd w:val="0"/>
        <w:ind w:firstLine="709"/>
        <w:jc w:val="both"/>
      </w:pPr>
      <w:r w:rsidRPr="008E3A84">
        <w:t>г</w:t>
      </w:r>
      <w:r w:rsidR="00F04ACA" w:rsidRPr="008E3A84">
        <w:t>) первый абзац пункта 13 Инструкции изложить в следующей редакции:</w:t>
      </w:r>
    </w:p>
    <w:p w:rsidR="00F04ACA" w:rsidRPr="008E3A84" w:rsidRDefault="00F04ACA" w:rsidP="00EA2D97">
      <w:pPr>
        <w:autoSpaceDE w:val="0"/>
        <w:autoSpaceDN w:val="0"/>
        <w:adjustRightInd w:val="0"/>
        <w:ind w:firstLine="709"/>
        <w:jc w:val="both"/>
      </w:pPr>
      <w:r w:rsidRPr="008E3A84">
        <w:t>«13. Отчитывающиеся субъекты обязаны по запросам Приднестровского республиканского банка предоставлять дополнительную информацию об остатках и движении средств на подотчетных счетах, информацию о резидентном статусе клиентов банка (в том числе копии документов, являющиеся основанием для присвоения (изменения) им резидентного статуса, дополнительные сведения о характере совершаемых клиентами банка операций (на основании договоров и других имеющихся в распоряжении банка документов и сведений, включая сведения, полученные непосредственно от клиентов банка), в рамках установленных настоящей Инструкцией форм отчетности. Указанная информация может быть представлена в устной форме, на бумажном носителе, в электронном виде (в форме защищенного паролем файла).»;</w:t>
      </w:r>
    </w:p>
    <w:p w:rsidR="00E875AD" w:rsidRPr="008E3A84" w:rsidRDefault="002A1959" w:rsidP="00EA2D97">
      <w:pPr>
        <w:autoSpaceDE w:val="0"/>
        <w:autoSpaceDN w:val="0"/>
        <w:adjustRightInd w:val="0"/>
        <w:ind w:firstLine="709"/>
        <w:jc w:val="both"/>
      </w:pPr>
      <w:r w:rsidRPr="008E3A84">
        <w:t>д</w:t>
      </w:r>
      <w:r w:rsidR="00E875AD" w:rsidRPr="008E3A84">
        <w:t>) пункт 16 Инструкции изложить в следующей редакции:</w:t>
      </w:r>
    </w:p>
    <w:p w:rsidR="00E875AD" w:rsidRPr="008E3A84" w:rsidRDefault="00E875AD" w:rsidP="00EA2D97">
      <w:pPr>
        <w:autoSpaceDE w:val="0"/>
        <w:autoSpaceDN w:val="0"/>
        <w:adjustRightInd w:val="0"/>
        <w:ind w:firstLine="709"/>
        <w:jc w:val="both"/>
      </w:pPr>
      <w:r w:rsidRPr="008E3A84">
        <w:t>«16. Отчитывающиеся субъекты, нарушившие положения настоящей Инструкции, несут ответственность</w:t>
      </w:r>
      <w:r w:rsidR="001F5C37" w:rsidRPr="008E3A84">
        <w:t xml:space="preserve"> в соответствии с действующим законодательством Приднестровской Молдавской Республики.</w:t>
      </w:r>
    </w:p>
    <w:p w:rsidR="001F5C37" w:rsidRPr="008E3A84" w:rsidRDefault="001F5C37" w:rsidP="00EA2D97">
      <w:pPr>
        <w:autoSpaceDE w:val="0"/>
        <w:autoSpaceDN w:val="0"/>
        <w:adjustRightInd w:val="0"/>
        <w:ind w:firstLine="709"/>
        <w:jc w:val="both"/>
      </w:pPr>
      <w:r w:rsidRPr="008E3A84">
        <w:t>В случае неисполнения требований настоящей Инструкции Приднестровский республиканский банк применяет меры воздействия в соответствии с действующим законодательством Приднестровской Молдавской Республики.»;</w:t>
      </w:r>
    </w:p>
    <w:p w:rsidR="001F5C37" w:rsidRPr="008E3A84" w:rsidRDefault="002A1959" w:rsidP="00EA2D97">
      <w:pPr>
        <w:autoSpaceDE w:val="0"/>
        <w:autoSpaceDN w:val="0"/>
        <w:adjustRightInd w:val="0"/>
        <w:ind w:firstLine="709"/>
        <w:jc w:val="both"/>
      </w:pPr>
      <w:r w:rsidRPr="008E3A84">
        <w:t>е</w:t>
      </w:r>
      <w:r w:rsidR="001F5C37" w:rsidRPr="008E3A84">
        <w:t xml:space="preserve">) в пункте 1 Приложения N1 к Инструкции слова «не позднее 7 рабочего дня месяца, следующего за отчетным периодом» </w:t>
      </w:r>
      <w:r w:rsidR="0091779F" w:rsidRPr="00904485">
        <w:t>заменить словами</w:t>
      </w:r>
      <w:r w:rsidR="001F5C37" w:rsidRPr="008E3A84">
        <w:t>«не позднее 15.00 часов 5 рабочего дня месяца, следующего за отчетным периодом»;</w:t>
      </w:r>
    </w:p>
    <w:p w:rsidR="00145364" w:rsidRPr="00904485" w:rsidRDefault="002A1959" w:rsidP="00EA2D97">
      <w:pPr>
        <w:autoSpaceDE w:val="0"/>
        <w:autoSpaceDN w:val="0"/>
        <w:adjustRightInd w:val="0"/>
        <w:ind w:firstLine="709"/>
        <w:jc w:val="both"/>
      </w:pPr>
      <w:r w:rsidRPr="00904485">
        <w:t>ж</w:t>
      </w:r>
      <w:r w:rsidR="001F5C37" w:rsidRPr="00904485">
        <w:t xml:space="preserve">) </w:t>
      </w:r>
      <w:r w:rsidR="00145364" w:rsidRPr="00904485">
        <w:t>в подпункте е) пункта 4 Приложения N 1 к Инструкции цифровое обозначение «4» заменить цифровым обозначением «5»;</w:t>
      </w:r>
    </w:p>
    <w:p w:rsidR="001F5C37" w:rsidRPr="008E3A84" w:rsidRDefault="002B4AEE" w:rsidP="00EA2D97">
      <w:pPr>
        <w:autoSpaceDE w:val="0"/>
        <w:autoSpaceDN w:val="0"/>
        <w:adjustRightInd w:val="0"/>
        <w:ind w:firstLine="709"/>
        <w:jc w:val="both"/>
      </w:pPr>
      <w:r>
        <w:t xml:space="preserve">з) </w:t>
      </w:r>
      <w:r w:rsidR="001F5C37" w:rsidRPr="008E3A84">
        <w:t>подпункт з) пункта 4 Приложения N 1 к Инструкции после слов «для учета</w:t>
      </w:r>
      <w:r w:rsidR="00ED3933" w:rsidRPr="008E3A84">
        <w:t>»</w:t>
      </w:r>
      <w:r w:rsidR="001F5C37" w:rsidRPr="008E3A84">
        <w:t xml:space="preserve"> дополнить словом «трансграничных»;</w:t>
      </w:r>
    </w:p>
    <w:p w:rsidR="00805052" w:rsidRPr="00904485" w:rsidRDefault="002B4AEE" w:rsidP="00EA2D97">
      <w:pPr>
        <w:autoSpaceDE w:val="0"/>
        <w:autoSpaceDN w:val="0"/>
        <w:adjustRightInd w:val="0"/>
        <w:ind w:firstLine="709"/>
        <w:jc w:val="both"/>
      </w:pPr>
      <w:r>
        <w:t>и</w:t>
      </w:r>
      <w:r w:rsidR="00C503AA" w:rsidRPr="008E3A84">
        <w:t xml:space="preserve">) </w:t>
      </w:r>
      <w:r w:rsidR="00805052" w:rsidRPr="00904485">
        <w:t>в подпункте к) пункта 4 Приложения N 1 к Инструкции цифровое обозначение «4» заменить цифровым обозначением «5»;</w:t>
      </w:r>
    </w:p>
    <w:p w:rsidR="00C503AA" w:rsidRPr="008E3A84" w:rsidRDefault="00DC1346" w:rsidP="00EA2D97">
      <w:pPr>
        <w:autoSpaceDE w:val="0"/>
        <w:autoSpaceDN w:val="0"/>
        <w:adjustRightInd w:val="0"/>
        <w:ind w:firstLine="709"/>
        <w:jc w:val="both"/>
      </w:pPr>
      <w:r w:rsidRPr="002B2449">
        <w:t>к)</w:t>
      </w:r>
      <w:r w:rsidR="00F033C1" w:rsidRPr="00F033C1">
        <w:t xml:space="preserve"> </w:t>
      </w:r>
      <w:r w:rsidR="00C503AA" w:rsidRPr="008E3A84">
        <w:t>третий абзац пункта 6-1 Приложения N 1 к Инструкции изложить в следующей редакции:</w:t>
      </w:r>
    </w:p>
    <w:p w:rsidR="00C503AA" w:rsidRPr="008E3A84" w:rsidRDefault="00C503AA" w:rsidP="00EA2D97">
      <w:pPr>
        <w:autoSpaceDE w:val="0"/>
        <w:autoSpaceDN w:val="0"/>
        <w:adjustRightInd w:val="0"/>
        <w:ind w:firstLine="709"/>
        <w:jc w:val="both"/>
      </w:pPr>
      <w:r w:rsidRPr="008E3A84">
        <w:t>«Если на момент совершения операции или по состоянию на конец отчетного периода истек срок документа, на основании которого клиенту присвоен (изменен) резидентный статус, страна его резидентного статуса определяется на основании сведений, указанных в Заявлении на открытие счета, или на основании последних актуальных идентификационных сведений о стране постоянного проживания (пребывания) данного клиента, имеющихся в распоряжении банка (иной кредитной организации), если имеются достаточные основания считать их более достоверными. Страной постоянного проживания (пребывания) физического лица является страна, в которой данное физическое лицо непрерывно проживает (пребывает) не менее одного года на основании соответствующих документов.»;</w:t>
      </w:r>
    </w:p>
    <w:p w:rsidR="00C503AA" w:rsidRPr="008E3A84" w:rsidRDefault="009E4D89" w:rsidP="00EA2D97">
      <w:pPr>
        <w:autoSpaceDE w:val="0"/>
        <w:autoSpaceDN w:val="0"/>
        <w:adjustRightInd w:val="0"/>
        <w:ind w:firstLine="709"/>
        <w:jc w:val="both"/>
      </w:pPr>
      <w:r>
        <w:t>л</w:t>
      </w:r>
      <w:r w:rsidR="00C503AA" w:rsidRPr="008E3A84">
        <w:t>) подпункт е) пункта 16 Приложения N 1 к Инструкции исключить;</w:t>
      </w:r>
    </w:p>
    <w:p w:rsidR="00C503AA" w:rsidRPr="008E3A84" w:rsidRDefault="009E4D89" w:rsidP="00EA2D97">
      <w:pPr>
        <w:autoSpaceDE w:val="0"/>
        <w:autoSpaceDN w:val="0"/>
        <w:adjustRightInd w:val="0"/>
        <w:ind w:firstLine="709"/>
        <w:jc w:val="both"/>
      </w:pPr>
      <w:r>
        <w:t>м</w:t>
      </w:r>
      <w:r w:rsidR="00C503AA" w:rsidRPr="008E3A84">
        <w:t xml:space="preserve">) подпункт г) пункта 4 </w:t>
      </w:r>
      <w:r w:rsidR="00C503AA" w:rsidRPr="00904485">
        <w:t xml:space="preserve">таблицы </w:t>
      </w:r>
      <w:r w:rsidR="0091779F" w:rsidRPr="00904485">
        <w:t xml:space="preserve">подпункта </w:t>
      </w:r>
      <w:r w:rsidR="00C503AA" w:rsidRPr="00904485">
        <w:t>е</w:t>
      </w:r>
      <w:r w:rsidR="00C503AA" w:rsidRPr="008E3A84">
        <w:t>) пункта 22 Приложения N 1 к Инструкции</w:t>
      </w:r>
      <w:r w:rsidR="00E95C1D">
        <w:t xml:space="preserve"> </w:t>
      </w:r>
      <w:r w:rsidR="00C503AA" w:rsidRPr="008E3A84">
        <w:t>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0"/>
        <w:gridCol w:w="413"/>
        <w:gridCol w:w="2595"/>
        <w:gridCol w:w="1322"/>
        <w:gridCol w:w="1322"/>
        <w:gridCol w:w="3679"/>
        <w:gridCol w:w="580"/>
      </w:tblGrid>
      <w:tr w:rsidR="007327A2" w:rsidRPr="008E3A84" w:rsidTr="00FC7911">
        <w:tc>
          <w:tcPr>
            <w:tcW w:w="180" w:type="pct"/>
            <w:tcBorders>
              <w:top w:val="nil"/>
              <w:left w:val="nil"/>
              <w:bottom w:val="nil"/>
              <w:right w:val="single" w:sz="4" w:space="0" w:color="auto"/>
            </w:tcBorders>
          </w:tcPr>
          <w:p w:rsidR="00C503AA" w:rsidRPr="008E3A84" w:rsidRDefault="00C503AA" w:rsidP="00812C59">
            <w:pPr>
              <w:pStyle w:val="af1"/>
              <w:spacing w:line="240" w:lineRule="auto"/>
              <w:ind w:left="0"/>
              <w:jc w:val="both"/>
              <w:rPr>
                <w:rFonts w:ascii="Times New Roman" w:hAnsi="Times New Roman" w:cs="Times New Roman"/>
                <w:sz w:val="24"/>
                <w:szCs w:val="24"/>
              </w:rPr>
            </w:pPr>
            <w:r w:rsidRPr="008E3A84">
              <w:rPr>
                <w:rFonts w:ascii="Times New Roman" w:hAnsi="Times New Roman" w:cs="Times New Roman"/>
                <w:sz w:val="24"/>
                <w:szCs w:val="24"/>
                <w:lang w:eastAsia="ru-RU"/>
              </w:rPr>
              <w:t>«</w:t>
            </w:r>
          </w:p>
        </w:tc>
        <w:tc>
          <w:tcPr>
            <w:tcW w:w="201" w:type="pct"/>
            <w:tcBorders>
              <w:top w:val="single" w:sz="4" w:space="0" w:color="auto"/>
              <w:left w:val="single" w:sz="4" w:space="0" w:color="auto"/>
              <w:bottom w:val="single" w:sz="4" w:space="0" w:color="auto"/>
              <w:right w:val="single" w:sz="4" w:space="0" w:color="auto"/>
            </w:tcBorders>
          </w:tcPr>
          <w:p w:rsidR="00C503AA" w:rsidRPr="008E3A84" w:rsidRDefault="00C503AA" w:rsidP="00812C59">
            <w:pPr>
              <w:pStyle w:val="af1"/>
              <w:spacing w:line="240" w:lineRule="auto"/>
              <w:ind w:left="0"/>
              <w:jc w:val="both"/>
              <w:rPr>
                <w:rFonts w:ascii="Times New Roman" w:hAnsi="Times New Roman" w:cs="Times New Roman"/>
                <w:sz w:val="24"/>
                <w:szCs w:val="24"/>
              </w:rPr>
            </w:pPr>
            <w:r w:rsidRPr="008E3A84">
              <w:rPr>
                <w:rFonts w:ascii="Times New Roman" w:hAnsi="Times New Roman" w:cs="Times New Roman"/>
                <w:sz w:val="24"/>
                <w:szCs w:val="24"/>
              </w:rPr>
              <w:t>г)</w:t>
            </w:r>
          </w:p>
        </w:tc>
        <w:tc>
          <w:tcPr>
            <w:tcW w:w="1262" w:type="pct"/>
            <w:tcBorders>
              <w:left w:val="single" w:sz="4" w:space="0" w:color="auto"/>
            </w:tcBorders>
          </w:tcPr>
          <w:p w:rsidR="00C503AA" w:rsidRPr="008E3A84" w:rsidRDefault="00C503AA" w:rsidP="00812C59">
            <w:r w:rsidRPr="008E3A84">
              <w:t>в наличной форме (через кассу кредитной организации)</w:t>
            </w:r>
          </w:p>
        </w:tc>
        <w:tc>
          <w:tcPr>
            <w:tcW w:w="643" w:type="pct"/>
            <w:vAlign w:val="center"/>
          </w:tcPr>
          <w:p w:rsidR="00C503AA" w:rsidRPr="008E3A84" w:rsidRDefault="006E64B2" w:rsidP="006E64B2">
            <w:pPr>
              <w:jc w:val="center"/>
            </w:pPr>
            <w:r w:rsidRPr="008E3A84">
              <w:t>КУБ отчитыва-ю</w:t>
            </w:r>
            <w:r w:rsidR="00C503AA" w:rsidRPr="008E3A84">
              <w:t>щегося банка</w:t>
            </w:r>
          </w:p>
        </w:tc>
        <w:tc>
          <w:tcPr>
            <w:tcW w:w="643" w:type="pct"/>
            <w:tcBorders>
              <w:right w:val="single" w:sz="4" w:space="0" w:color="auto"/>
            </w:tcBorders>
            <w:vAlign w:val="center"/>
          </w:tcPr>
          <w:p w:rsidR="00C503AA" w:rsidRPr="008E3A84" w:rsidRDefault="00C503AA" w:rsidP="006E64B2">
            <w:pPr>
              <w:jc w:val="center"/>
            </w:pPr>
            <w:r w:rsidRPr="008E3A84">
              <w:t>КУБ отчитыва</w:t>
            </w:r>
            <w:r w:rsidR="006E64B2" w:rsidRPr="008E3A84">
              <w:t>-ю</w:t>
            </w:r>
            <w:r w:rsidRPr="008E3A84">
              <w:t>щегося банка</w:t>
            </w:r>
          </w:p>
        </w:tc>
        <w:tc>
          <w:tcPr>
            <w:tcW w:w="1789" w:type="pct"/>
            <w:tcBorders>
              <w:top w:val="single" w:sz="4" w:space="0" w:color="auto"/>
              <w:left w:val="single" w:sz="4" w:space="0" w:color="auto"/>
              <w:bottom w:val="single" w:sz="4" w:space="0" w:color="auto"/>
              <w:right w:val="single" w:sz="4" w:space="0" w:color="auto"/>
            </w:tcBorders>
          </w:tcPr>
          <w:p w:rsidR="00C503AA" w:rsidRPr="008E3A84" w:rsidRDefault="00C503AA" w:rsidP="00812C59">
            <w:r w:rsidRPr="008E3A84">
              <w:t>По операциям, указанным в п.п. г) пункта 4 и пункте 7 настоящей таблицы (при идентичности данных в полях «Сумма» и «Код валюты» отч</w:t>
            </w:r>
            <w:r w:rsidR="00FA2B54" w:rsidRPr="008E3A84">
              <w:t>е</w:t>
            </w:r>
            <w:r w:rsidRPr="008E3A84">
              <w:t>та) 1-28 символы кода совпадают</w:t>
            </w:r>
          </w:p>
        </w:tc>
        <w:tc>
          <w:tcPr>
            <w:tcW w:w="282" w:type="pct"/>
            <w:tcBorders>
              <w:top w:val="nil"/>
              <w:left w:val="single" w:sz="4" w:space="0" w:color="auto"/>
              <w:bottom w:val="nil"/>
              <w:right w:val="nil"/>
            </w:tcBorders>
            <w:vAlign w:val="bottom"/>
          </w:tcPr>
          <w:p w:rsidR="00C503AA" w:rsidRPr="008E3A84" w:rsidRDefault="00C503AA" w:rsidP="00C503AA">
            <w:pPr>
              <w:jc w:val="right"/>
            </w:pPr>
            <w:r w:rsidRPr="008E3A84">
              <w:t>»;</w:t>
            </w:r>
          </w:p>
        </w:tc>
      </w:tr>
    </w:tbl>
    <w:p w:rsidR="00C503AA" w:rsidRPr="00904485" w:rsidRDefault="009E4D89" w:rsidP="00904485">
      <w:pPr>
        <w:ind w:firstLine="709"/>
        <w:jc w:val="both"/>
        <w:rPr>
          <w:strike/>
        </w:rPr>
      </w:pPr>
      <w:r>
        <w:t>н</w:t>
      </w:r>
      <w:r w:rsidR="00C503AA" w:rsidRPr="008E3A84">
        <w:t xml:space="preserve">) </w:t>
      </w:r>
      <w:r w:rsidR="00C503AA" w:rsidRPr="00904485">
        <w:t>таблицу</w:t>
      </w:r>
      <w:r w:rsidR="0091779F" w:rsidRPr="00904485">
        <w:t xml:space="preserve"> подпункта</w:t>
      </w:r>
      <w:r w:rsidR="00814AFD">
        <w:t xml:space="preserve"> </w:t>
      </w:r>
      <w:r w:rsidR="00C503AA" w:rsidRPr="008E3A84">
        <w:t xml:space="preserve">е) пункта 22 Приложения </w:t>
      </w:r>
      <w:r w:rsidR="00C503AA" w:rsidRPr="008E3A84">
        <w:rPr>
          <w:lang w:val="en-US"/>
        </w:rPr>
        <w:t>N</w:t>
      </w:r>
      <w:r w:rsidR="00C503AA" w:rsidRPr="00904485">
        <w:t>1</w:t>
      </w:r>
      <w:r w:rsidR="002B4AEE" w:rsidRPr="00904485">
        <w:t>к Инструкции</w:t>
      </w:r>
      <w:r w:rsidR="00814AFD">
        <w:t xml:space="preserve"> </w:t>
      </w:r>
      <w:r w:rsidR="00C503AA" w:rsidRPr="008E3A84">
        <w:t xml:space="preserve">дополнить строкой </w:t>
      </w:r>
      <w:r w:rsidR="0009407F" w:rsidRPr="00904485">
        <w:t>12</w:t>
      </w:r>
      <w:r w:rsidR="00814AFD">
        <w:t xml:space="preserve"> </w:t>
      </w:r>
      <w:r w:rsidR="00C503AA" w:rsidRPr="008E3A84">
        <w:t>следующего содержания: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
        <w:gridCol w:w="516"/>
        <w:gridCol w:w="2550"/>
        <w:gridCol w:w="1276"/>
        <w:gridCol w:w="1276"/>
        <w:gridCol w:w="3685"/>
        <w:gridCol w:w="567"/>
      </w:tblGrid>
      <w:tr w:rsidR="007327A2" w:rsidRPr="008E3A84" w:rsidTr="00FC7911">
        <w:trPr>
          <w:jc w:val="center"/>
        </w:trPr>
        <w:tc>
          <w:tcPr>
            <w:tcW w:w="336" w:type="dxa"/>
            <w:tcBorders>
              <w:top w:val="nil"/>
              <w:left w:val="nil"/>
              <w:bottom w:val="nil"/>
            </w:tcBorders>
          </w:tcPr>
          <w:p w:rsidR="006E64B2" w:rsidRPr="008E3A84" w:rsidRDefault="006E64B2" w:rsidP="006E64B2">
            <w:pPr>
              <w:pStyle w:val="af3"/>
              <w:jc w:val="right"/>
              <w:rPr>
                <w:rFonts w:ascii="Times New Roman" w:hAnsi="Times New Roman"/>
                <w:sz w:val="24"/>
                <w:szCs w:val="24"/>
              </w:rPr>
            </w:pPr>
            <w:r w:rsidRPr="008E3A84">
              <w:rPr>
                <w:rFonts w:ascii="Times New Roman" w:hAnsi="Times New Roman"/>
                <w:sz w:val="24"/>
                <w:szCs w:val="24"/>
              </w:rPr>
              <w:t>«</w:t>
            </w:r>
          </w:p>
        </w:tc>
        <w:tc>
          <w:tcPr>
            <w:tcW w:w="516" w:type="dxa"/>
            <w:vAlign w:val="center"/>
          </w:tcPr>
          <w:p w:rsidR="006E64B2" w:rsidRPr="008E3A84" w:rsidRDefault="006E64B2" w:rsidP="006E64B2">
            <w:pPr>
              <w:pStyle w:val="af3"/>
              <w:jc w:val="right"/>
              <w:rPr>
                <w:rFonts w:ascii="Times New Roman" w:hAnsi="Times New Roman"/>
                <w:sz w:val="24"/>
                <w:szCs w:val="24"/>
              </w:rPr>
            </w:pPr>
            <w:r w:rsidRPr="008E3A84">
              <w:rPr>
                <w:rFonts w:ascii="Times New Roman" w:hAnsi="Times New Roman"/>
                <w:sz w:val="24"/>
                <w:szCs w:val="24"/>
              </w:rPr>
              <w:t>12.</w:t>
            </w:r>
          </w:p>
        </w:tc>
        <w:tc>
          <w:tcPr>
            <w:tcW w:w="2550" w:type="dxa"/>
            <w:vAlign w:val="center"/>
          </w:tcPr>
          <w:p w:rsidR="006E64B2" w:rsidRPr="008E3A84" w:rsidRDefault="006E64B2" w:rsidP="006E64B2">
            <w:r w:rsidRPr="008E3A84">
              <w:t xml:space="preserve">Переброска средств </w:t>
            </w:r>
            <w:r w:rsidRPr="008E3A84">
              <w:lastRenderedPageBreak/>
              <w:t>между счетами одного и того же клиента банка</w:t>
            </w:r>
          </w:p>
        </w:tc>
        <w:tc>
          <w:tcPr>
            <w:tcW w:w="1276" w:type="dxa"/>
          </w:tcPr>
          <w:p w:rsidR="006E64B2" w:rsidRPr="008E3A84" w:rsidRDefault="006E64B2" w:rsidP="006E64B2">
            <w:pPr>
              <w:jc w:val="center"/>
            </w:pPr>
            <w:r w:rsidRPr="008E3A84">
              <w:lastRenderedPageBreak/>
              <w:t xml:space="preserve">КУБ </w:t>
            </w:r>
            <w:r w:rsidRPr="008E3A84">
              <w:lastRenderedPageBreak/>
              <w:t>отчитыва-ющегося банка</w:t>
            </w:r>
          </w:p>
        </w:tc>
        <w:tc>
          <w:tcPr>
            <w:tcW w:w="1276" w:type="dxa"/>
          </w:tcPr>
          <w:p w:rsidR="006E64B2" w:rsidRPr="008E3A84" w:rsidRDefault="006E64B2" w:rsidP="006E64B2">
            <w:pPr>
              <w:jc w:val="center"/>
            </w:pPr>
            <w:r w:rsidRPr="008E3A84">
              <w:lastRenderedPageBreak/>
              <w:t xml:space="preserve">КУБ </w:t>
            </w:r>
            <w:r w:rsidRPr="008E3A84">
              <w:lastRenderedPageBreak/>
              <w:t>отчитыва-ющегося банка</w:t>
            </w:r>
          </w:p>
        </w:tc>
        <w:tc>
          <w:tcPr>
            <w:tcW w:w="3685" w:type="dxa"/>
            <w:vAlign w:val="center"/>
          </w:tcPr>
          <w:p w:rsidR="006E64B2" w:rsidRPr="008E3A84" w:rsidRDefault="006E64B2" w:rsidP="006E64B2">
            <w:pPr>
              <w:jc w:val="both"/>
            </w:pPr>
            <w:r w:rsidRPr="008E3A84">
              <w:lastRenderedPageBreak/>
              <w:t xml:space="preserve">При идентичности данных в </w:t>
            </w:r>
            <w:r w:rsidRPr="008E3A84">
              <w:lastRenderedPageBreak/>
              <w:t>полях «Сумма» и «Код валюты» отч</w:t>
            </w:r>
            <w:r w:rsidR="00FA2B54" w:rsidRPr="008E3A84">
              <w:t>е</w:t>
            </w:r>
            <w:r w:rsidRPr="008E3A84">
              <w:t>та 1-28 символы кода совпадают</w:t>
            </w:r>
          </w:p>
        </w:tc>
        <w:tc>
          <w:tcPr>
            <w:tcW w:w="567" w:type="dxa"/>
            <w:tcBorders>
              <w:top w:val="nil"/>
              <w:bottom w:val="nil"/>
              <w:right w:val="nil"/>
            </w:tcBorders>
            <w:vAlign w:val="bottom"/>
          </w:tcPr>
          <w:p w:rsidR="006E64B2" w:rsidRPr="008E3A84" w:rsidRDefault="006E64B2" w:rsidP="006E64B2">
            <w:pPr>
              <w:ind w:left="-2" w:firstLine="1"/>
            </w:pPr>
            <w:r w:rsidRPr="008E3A84">
              <w:lastRenderedPageBreak/>
              <w:t>»;</w:t>
            </w:r>
          </w:p>
        </w:tc>
      </w:tr>
    </w:tbl>
    <w:p w:rsidR="00C503AA" w:rsidRPr="008E3A84" w:rsidRDefault="009E4D89" w:rsidP="00EA2D97">
      <w:pPr>
        <w:autoSpaceDE w:val="0"/>
        <w:autoSpaceDN w:val="0"/>
        <w:adjustRightInd w:val="0"/>
        <w:ind w:firstLine="709"/>
        <w:jc w:val="both"/>
      </w:pPr>
      <w:r>
        <w:lastRenderedPageBreak/>
        <w:t>о</w:t>
      </w:r>
      <w:r w:rsidR="00C503AA" w:rsidRPr="008E3A84">
        <w:t>) строки таблицы N 1 «Классификатор платежных операций» Приложения N 1 к Инструкции:</w:t>
      </w:r>
    </w:p>
    <w:tbl>
      <w:tblPr>
        <w:tblStyle w:val="af2"/>
        <w:tblW w:w="10031" w:type="dxa"/>
        <w:tblLayout w:type="fixed"/>
        <w:tblLook w:val="04A0"/>
      </w:tblPr>
      <w:tblGrid>
        <w:gridCol w:w="363"/>
        <w:gridCol w:w="7150"/>
        <w:gridCol w:w="992"/>
        <w:gridCol w:w="993"/>
        <w:gridCol w:w="533"/>
      </w:tblGrid>
      <w:tr w:rsidR="007327A2" w:rsidRPr="008E3A84" w:rsidTr="00FC7911">
        <w:trPr>
          <w:trHeight w:val="401"/>
        </w:trPr>
        <w:tc>
          <w:tcPr>
            <w:tcW w:w="363" w:type="dxa"/>
            <w:vMerge w:val="restart"/>
            <w:tcBorders>
              <w:top w:val="nil"/>
              <w:left w:val="nil"/>
              <w:bottom w:val="nil"/>
              <w:right w:val="single" w:sz="4" w:space="0" w:color="auto"/>
            </w:tcBorders>
          </w:tcPr>
          <w:p w:rsidR="00C503AA" w:rsidRPr="008E3A84" w:rsidRDefault="00C503AA" w:rsidP="00812C59">
            <w:pPr>
              <w:autoSpaceDE w:val="0"/>
              <w:autoSpaceDN w:val="0"/>
              <w:adjustRightInd w:val="0"/>
            </w:pPr>
            <w:r w:rsidRPr="008E3A84">
              <w:t>«</w:t>
            </w:r>
          </w:p>
        </w:tc>
        <w:tc>
          <w:tcPr>
            <w:tcW w:w="7150" w:type="dxa"/>
            <w:tcBorders>
              <w:top w:val="single" w:sz="4" w:space="0" w:color="auto"/>
              <w:left w:val="single" w:sz="4" w:space="0" w:color="auto"/>
              <w:right w:val="single" w:sz="4" w:space="0" w:color="auto"/>
            </w:tcBorders>
            <w:vAlign w:val="center"/>
          </w:tcPr>
          <w:p w:rsidR="00C503AA" w:rsidRPr="008E3A84" w:rsidRDefault="00C503AA" w:rsidP="00812C59">
            <w:pPr>
              <w:autoSpaceDE w:val="0"/>
              <w:autoSpaceDN w:val="0"/>
              <w:adjustRightInd w:val="0"/>
              <w:jc w:val="center"/>
              <w:rPr>
                <w:b/>
              </w:rPr>
            </w:pPr>
            <w:r w:rsidRPr="008E3A84">
              <w:rPr>
                <w:b/>
              </w:rPr>
              <w:t>Резерв</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p>
        </w:tc>
        <w:tc>
          <w:tcPr>
            <w:tcW w:w="993" w:type="dxa"/>
            <w:tcBorders>
              <w:top w:val="single" w:sz="4" w:space="0" w:color="auto"/>
              <w:left w:val="single" w:sz="4" w:space="0" w:color="auto"/>
              <w:right w:val="single" w:sz="4" w:space="0" w:color="auto"/>
            </w:tcBorders>
            <w:vAlign w:val="center"/>
          </w:tcPr>
          <w:p w:rsidR="00C503AA" w:rsidRPr="008E3A84" w:rsidRDefault="00C503AA" w:rsidP="00812C59">
            <w:pPr>
              <w:autoSpaceDE w:val="0"/>
              <w:autoSpaceDN w:val="0"/>
              <w:adjustRightInd w:val="0"/>
              <w:jc w:val="center"/>
            </w:pPr>
          </w:p>
        </w:tc>
        <w:tc>
          <w:tcPr>
            <w:tcW w:w="533" w:type="dxa"/>
            <w:tcBorders>
              <w:top w:val="nil"/>
              <w:left w:val="single" w:sz="4" w:space="0" w:color="auto"/>
              <w:bottom w:val="nil"/>
              <w:right w:val="nil"/>
            </w:tcBorders>
          </w:tcPr>
          <w:p w:rsidR="00C503AA" w:rsidRPr="008E3A84" w:rsidRDefault="00C503AA" w:rsidP="00812C59">
            <w:pPr>
              <w:autoSpaceDE w:val="0"/>
              <w:autoSpaceDN w:val="0"/>
              <w:adjustRightInd w:val="0"/>
              <w:jc w:val="center"/>
            </w:pPr>
          </w:p>
        </w:tc>
      </w:tr>
      <w:tr w:rsidR="007327A2" w:rsidRPr="008E3A84" w:rsidTr="00FC7911">
        <w:trPr>
          <w:trHeight w:val="401"/>
        </w:trPr>
        <w:tc>
          <w:tcPr>
            <w:tcW w:w="363" w:type="dxa"/>
            <w:vMerge/>
            <w:tcBorders>
              <w:top w:val="nil"/>
              <w:left w:val="nil"/>
              <w:bottom w:val="nil"/>
              <w:right w:val="single" w:sz="4" w:space="0" w:color="auto"/>
            </w:tcBorders>
          </w:tcPr>
          <w:p w:rsidR="00C503AA" w:rsidRPr="008E3A84" w:rsidRDefault="00C503AA" w:rsidP="00812C59">
            <w:pPr>
              <w:autoSpaceDE w:val="0"/>
              <w:autoSpaceDN w:val="0"/>
              <w:adjustRightInd w:val="0"/>
              <w:jc w:val="both"/>
            </w:pPr>
          </w:p>
        </w:tc>
        <w:tc>
          <w:tcPr>
            <w:tcW w:w="7150" w:type="dxa"/>
            <w:tcBorders>
              <w:left w:val="single" w:sz="4" w:space="0" w:color="auto"/>
              <w:right w:val="single" w:sz="4" w:space="0" w:color="auto"/>
            </w:tcBorders>
            <w:vAlign w:val="center"/>
          </w:tcPr>
          <w:p w:rsidR="00C503AA" w:rsidRPr="008E3A84" w:rsidRDefault="00C503AA" w:rsidP="00812C59">
            <w:pPr>
              <w:autoSpaceDE w:val="0"/>
              <w:autoSpaceDN w:val="0"/>
              <w:adjustRightInd w:val="0"/>
            </w:pPr>
            <w:r w:rsidRPr="008E3A84">
              <w:t>Резерв</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1011</w:t>
            </w:r>
          </w:p>
        </w:tc>
        <w:tc>
          <w:tcPr>
            <w:tcW w:w="993"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2011</w:t>
            </w:r>
          </w:p>
        </w:tc>
        <w:tc>
          <w:tcPr>
            <w:tcW w:w="533" w:type="dxa"/>
            <w:tcBorders>
              <w:top w:val="nil"/>
              <w:left w:val="single" w:sz="4" w:space="0" w:color="auto"/>
              <w:bottom w:val="nil"/>
              <w:right w:val="nil"/>
            </w:tcBorders>
          </w:tcPr>
          <w:p w:rsidR="00C503AA" w:rsidRPr="008E3A84" w:rsidRDefault="00C503AA" w:rsidP="00812C59">
            <w:pPr>
              <w:autoSpaceDE w:val="0"/>
              <w:autoSpaceDN w:val="0"/>
              <w:adjustRightInd w:val="0"/>
              <w:jc w:val="center"/>
            </w:pPr>
          </w:p>
        </w:tc>
      </w:tr>
      <w:tr w:rsidR="007327A2" w:rsidRPr="008E3A84" w:rsidTr="00FC7911">
        <w:trPr>
          <w:trHeight w:val="401"/>
        </w:trPr>
        <w:tc>
          <w:tcPr>
            <w:tcW w:w="363" w:type="dxa"/>
            <w:vMerge/>
            <w:tcBorders>
              <w:top w:val="nil"/>
              <w:left w:val="nil"/>
              <w:bottom w:val="nil"/>
              <w:right w:val="single" w:sz="4" w:space="0" w:color="auto"/>
            </w:tcBorders>
          </w:tcPr>
          <w:p w:rsidR="00C503AA" w:rsidRPr="008E3A84" w:rsidRDefault="00C503AA" w:rsidP="00812C59">
            <w:pPr>
              <w:autoSpaceDE w:val="0"/>
              <w:autoSpaceDN w:val="0"/>
              <w:adjustRightInd w:val="0"/>
              <w:jc w:val="both"/>
            </w:pPr>
          </w:p>
        </w:tc>
        <w:tc>
          <w:tcPr>
            <w:tcW w:w="7150" w:type="dxa"/>
            <w:tcBorders>
              <w:left w:val="single" w:sz="4" w:space="0" w:color="auto"/>
              <w:bottom w:val="single" w:sz="4" w:space="0" w:color="auto"/>
              <w:right w:val="single" w:sz="4" w:space="0" w:color="auto"/>
            </w:tcBorders>
            <w:vAlign w:val="center"/>
          </w:tcPr>
          <w:p w:rsidR="00C503AA" w:rsidRPr="008E3A84" w:rsidRDefault="00C503AA" w:rsidP="00812C59">
            <w:pPr>
              <w:autoSpaceDE w:val="0"/>
              <w:autoSpaceDN w:val="0"/>
              <w:adjustRightInd w:val="0"/>
            </w:pPr>
            <w:r w:rsidRPr="008E3A84">
              <w:t>Резерв</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1012</w:t>
            </w:r>
          </w:p>
        </w:tc>
        <w:tc>
          <w:tcPr>
            <w:tcW w:w="993" w:type="dxa"/>
            <w:tcBorders>
              <w:left w:val="single" w:sz="4" w:space="0" w:color="auto"/>
              <w:bottom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2012</w:t>
            </w:r>
          </w:p>
        </w:tc>
        <w:tc>
          <w:tcPr>
            <w:tcW w:w="533" w:type="dxa"/>
            <w:tcBorders>
              <w:top w:val="nil"/>
              <w:left w:val="single" w:sz="4" w:space="0" w:color="auto"/>
              <w:bottom w:val="nil"/>
              <w:right w:val="nil"/>
            </w:tcBorders>
            <w:vAlign w:val="bottom"/>
          </w:tcPr>
          <w:p w:rsidR="00C503AA" w:rsidRPr="008E3A84" w:rsidRDefault="00C503AA" w:rsidP="00E73CC9">
            <w:pPr>
              <w:autoSpaceDE w:val="0"/>
              <w:autoSpaceDN w:val="0"/>
              <w:adjustRightInd w:val="0"/>
            </w:pPr>
            <w:r w:rsidRPr="008E3A84">
              <w:t>»</w:t>
            </w:r>
          </w:p>
        </w:tc>
      </w:tr>
    </w:tbl>
    <w:p w:rsidR="00C503AA" w:rsidRPr="008E3A84" w:rsidRDefault="00C503AA" w:rsidP="00EA2D97">
      <w:pPr>
        <w:tabs>
          <w:tab w:val="left" w:pos="142"/>
        </w:tabs>
        <w:ind w:firstLine="709"/>
        <w:jc w:val="both"/>
      </w:pPr>
      <w:r w:rsidRPr="008E3A84">
        <w:t>изложить в следующей редакции:</w:t>
      </w:r>
    </w:p>
    <w:tbl>
      <w:tblPr>
        <w:tblStyle w:val="af2"/>
        <w:tblW w:w="10031" w:type="dxa"/>
        <w:tblLayout w:type="fixed"/>
        <w:tblLook w:val="04A0"/>
      </w:tblPr>
      <w:tblGrid>
        <w:gridCol w:w="363"/>
        <w:gridCol w:w="7150"/>
        <w:gridCol w:w="992"/>
        <w:gridCol w:w="993"/>
        <w:gridCol w:w="533"/>
      </w:tblGrid>
      <w:tr w:rsidR="007327A2" w:rsidRPr="008E3A84" w:rsidTr="00FC7911">
        <w:trPr>
          <w:trHeight w:val="401"/>
        </w:trPr>
        <w:tc>
          <w:tcPr>
            <w:tcW w:w="363" w:type="dxa"/>
            <w:vMerge w:val="restart"/>
            <w:tcBorders>
              <w:top w:val="nil"/>
              <w:left w:val="nil"/>
              <w:bottom w:val="nil"/>
              <w:right w:val="single" w:sz="4" w:space="0" w:color="auto"/>
            </w:tcBorders>
          </w:tcPr>
          <w:p w:rsidR="00C503AA" w:rsidRPr="008E3A84" w:rsidRDefault="00C503AA" w:rsidP="00812C59">
            <w:pPr>
              <w:autoSpaceDE w:val="0"/>
              <w:autoSpaceDN w:val="0"/>
              <w:adjustRightInd w:val="0"/>
            </w:pPr>
            <w:r w:rsidRPr="008E3A84">
              <w:t>«</w:t>
            </w:r>
          </w:p>
        </w:tc>
        <w:tc>
          <w:tcPr>
            <w:tcW w:w="7150" w:type="dxa"/>
            <w:tcBorders>
              <w:top w:val="single" w:sz="4" w:space="0" w:color="auto"/>
              <w:left w:val="single" w:sz="4" w:space="0" w:color="auto"/>
              <w:right w:val="single" w:sz="4" w:space="0" w:color="auto"/>
            </w:tcBorders>
            <w:vAlign w:val="center"/>
          </w:tcPr>
          <w:p w:rsidR="00C503AA" w:rsidRPr="008E3A84" w:rsidRDefault="00C503AA" w:rsidP="00812C59">
            <w:pPr>
              <w:autoSpaceDE w:val="0"/>
              <w:autoSpaceDN w:val="0"/>
              <w:adjustRightInd w:val="0"/>
              <w:jc w:val="center"/>
              <w:rPr>
                <w:b/>
              </w:rPr>
            </w:pPr>
            <w:r w:rsidRPr="008E3A84">
              <w:rPr>
                <w:b/>
              </w:rPr>
              <w:t>Резерв</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p>
        </w:tc>
        <w:tc>
          <w:tcPr>
            <w:tcW w:w="993" w:type="dxa"/>
            <w:tcBorders>
              <w:top w:val="single" w:sz="4" w:space="0" w:color="auto"/>
              <w:left w:val="single" w:sz="4" w:space="0" w:color="auto"/>
              <w:right w:val="single" w:sz="4" w:space="0" w:color="auto"/>
            </w:tcBorders>
            <w:vAlign w:val="center"/>
          </w:tcPr>
          <w:p w:rsidR="00C503AA" w:rsidRPr="008E3A84" w:rsidRDefault="00C503AA" w:rsidP="00812C59">
            <w:pPr>
              <w:autoSpaceDE w:val="0"/>
              <w:autoSpaceDN w:val="0"/>
              <w:adjustRightInd w:val="0"/>
              <w:jc w:val="center"/>
            </w:pPr>
          </w:p>
        </w:tc>
        <w:tc>
          <w:tcPr>
            <w:tcW w:w="533" w:type="dxa"/>
            <w:tcBorders>
              <w:top w:val="nil"/>
              <w:left w:val="single" w:sz="4" w:space="0" w:color="auto"/>
              <w:bottom w:val="nil"/>
              <w:right w:val="nil"/>
            </w:tcBorders>
          </w:tcPr>
          <w:p w:rsidR="00C503AA" w:rsidRPr="008E3A84" w:rsidRDefault="00C503AA" w:rsidP="00812C59">
            <w:pPr>
              <w:autoSpaceDE w:val="0"/>
              <w:autoSpaceDN w:val="0"/>
              <w:adjustRightInd w:val="0"/>
              <w:jc w:val="center"/>
            </w:pPr>
          </w:p>
        </w:tc>
      </w:tr>
      <w:tr w:rsidR="007327A2" w:rsidRPr="008E3A84" w:rsidTr="00FC7911">
        <w:trPr>
          <w:trHeight w:val="401"/>
        </w:trPr>
        <w:tc>
          <w:tcPr>
            <w:tcW w:w="363" w:type="dxa"/>
            <w:vMerge/>
            <w:tcBorders>
              <w:top w:val="nil"/>
              <w:left w:val="nil"/>
              <w:bottom w:val="nil"/>
              <w:right w:val="single" w:sz="4" w:space="0" w:color="auto"/>
            </w:tcBorders>
          </w:tcPr>
          <w:p w:rsidR="00C503AA" w:rsidRPr="008E3A84" w:rsidRDefault="00C503AA" w:rsidP="00812C59">
            <w:pPr>
              <w:autoSpaceDE w:val="0"/>
              <w:autoSpaceDN w:val="0"/>
              <w:adjustRightInd w:val="0"/>
              <w:jc w:val="both"/>
            </w:pPr>
          </w:p>
        </w:tc>
        <w:tc>
          <w:tcPr>
            <w:tcW w:w="7150" w:type="dxa"/>
            <w:tcBorders>
              <w:left w:val="single" w:sz="4" w:space="0" w:color="auto"/>
              <w:right w:val="single" w:sz="4" w:space="0" w:color="auto"/>
            </w:tcBorders>
            <w:vAlign w:val="center"/>
          </w:tcPr>
          <w:p w:rsidR="00C503AA" w:rsidRPr="008E3A84" w:rsidRDefault="00C503AA" w:rsidP="00812C59">
            <w:pPr>
              <w:autoSpaceDE w:val="0"/>
              <w:autoSpaceDN w:val="0"/>
              <w:adjustRightInd w:val="0"/>
            </w:pPr>
            <w:r w:rsidRPr="008E3A84">
              <w:t>Требования по операциям факторинга</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1011</w:t>
            </w:r>
          </w:p>
        </w:tc>
        <w:tc>
          <w:tcPr>
            <w:tcW w:w="993"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2011</w:t>
            </w:r>
          </w:p>
        </w:tc>
        <w:tc>
          <w:tcPr>
            <w:tcW w:w="533" w:type="dxa"/>
            <w:tcBorders>
              <w:top w:val="nil"/>
              <w:left w:val="single" w:sz="4" w:space="0" w:color="auto"/>
              <w:bottom w:val="nil"/>
              <w:right w:val="nil"/>
            </w:tcBorders>
          </w:tcPr>
          <w:p w:rsidR="00C503AA" w:rsidRPr="008E3A84" w:rsidRDefault="00C503AA" w:rsidP="00812C59">
            <w:pPr>
              <w:autoSpaceDE w:val="0"/>
              <w:autoSpaceDN w:val="0"/>
              <w:adjustRightInd w:val="0"/>
              <w:jc w:val="center"/>
            </w:pPr>
          </w:p>
        </w:tc>
      </w:tr>
      <w:tr w:rsidR="007327A2" w:rsidRPr="008E3A84" w:rsidTr="00FC7911">
        <w:trPr>
          <w:trHeight w:val="401"/>
        </w:trPr>
        <w:tc>
          <w:tcPr>
            <w:tcW w:w="363" w:type="dxa"/>
            <w:vMerge/>
            <w:tcBorders>
              <w:top w:val="nil"/>
              <w:left w:val="nil"/>
              <w:bottom w:val="nil"/>
              <w:right w:val="single" w:sz="4" w:space="0" w:color="auto"/>
            </w:tcBorders>
          </w:tcPr>
          <w:p w:rsidR="00C503AA" w:rsidRPr="008E3A84" w:rsidRDefault="00C503AA" w:rsidP="00812C59">
            <w:pPr>
              <w:autoSpaceDE w:val="0"/>
              <w:autoSpaceDN w:val="0"/>
              <w:adjustRightInd w:val="0"/>
              <w:jc w:val="both"/>
            </w:pPr>
          </w:p>
        </w:tc>
        <w:tc>
          <w:tcPr>
            <w:tcW w:w="7150" w:type="dxa"/>
            <w:tcBorders>
              <w:left w:val="single" w:sz="4" w:space="0" w:color="auto"/>
              <w:bottom w:val="single" w:sz="4" w:space="0" w:color="auto"/>
              <w:right w:val="single" w:sz="4" w:space="0" w:color="auto"/>
            </w:tcBorders>
            <w:vAlign w:val="center"/>
          </w:tcPr>
          <w:p w:rsidR="00C503AA" w:rsidRPr="008E3A84" w:rsidRDefault="00C503AA" w:rsidP="00812C59">
            <w:pPr>
              <w:autoSpaceDE w:val="0"/>
              <w:autoSpaceDN w:val="0"/>
              <w:adjustRightInd w:val="0"/>
            </w:pPr>
            <w:r w:rsidRPr="008E3A84">
              <w:t>Обязательства по операциям факторинга</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1012</w:t>
            </w:r>
          </w:p>
        </w:tc>
        <w:tc>
          <w:tcPr>
            <w:tcW w:w="993" w:type="dxa"/>
            <w:tcBorders>
              <w:left w:val="single" w:sz="4" w:space="0" w:color="auto"/>
              <w:bottom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2012</w:t>
            </w:r>
          </w:p>
        </w:tc>
        <w:tc>
          <w:tcPr>
            <w:tcW w:w="533" w:type="dxa"/>
            <w:tcBorders>
              <w:top w:val="nil"/>
              <w:left w:val="single" w:sz="4" w:space="0" w:color="auto"/>
              <w:bottom w:val="nil"/>
              <w:right w:val="nil"/>
            </w:tcBorders>
            <w:vAlign w:val="bottom"/>
          </w:tcPr>
          <w:p w:rsidR="00C503AA" w:rsidRPr="008E3A84" w:rsidRDefault="00C503AA" w:rsidP="00E73CC9">
            <w:pPr>
              <w:autoSpaceDE w:val="0"/>
              <w:autoSpaceDN w:val="0"/>
              <w:adjustRightInd w:val="0"/>
            </w:pPr>
            <w:r w:rsidRPr="008E3A84">
              <w:t>»;</w:t>
            </w:r>
          </w:p>
        </w:tc>
      </w:tr>
    </w:tbl>
    <w:p w:rsidR="00C503AA" w:rsidRPr="008E3A84" w:rsidRDefault="009E4D89" w:rsidP="00EA2D97">
      <w:pPr>
        <w:ind w:firstLine="709"/>
        <w:jc w:val="both"/>
      </w:pPr>
      <w:r>
        <w:t>п</w:t>
      </w:r>
      <w:r w:rsidR="00C503AA" w:rsidRPr="008E3A84">
        <w:t xml:space="preserve">) таблицу </w:t>
      </w:r>
      <w:r w:rsidR="00C503AA" w:rsidRPr="008E3A84">
        <w:rPr>
          <w:lang w:val="en-US"/>
        </w:rPr>
        <w:t>N</w:t>
      </w:r>
      <w:r w:rsidR="00C503AA" w:rsidRPr="008E3A84">
        <w:t xml:space="preserve"> 1 «Классификатор платежных операций» Приложения N 1 к Инструкции после строк:</w:t>
      </w:r>
    </w:p>
    <w:tbl>
      <w:tblPr>
        <w:tblStyle w:val="af2"/>
        <w:tblW w:w="10031" w:type="dxa"/>
        <w:tblLayout w:type="fixed"/>
        <w:tblLook w:val="04A0"/>
      </w:tblPr>
      <w:tblGrid>
        <w:gridCol w:w="363"/>
        <w:gridCol w:w="7150"/>
        <w:gridCol w:w="992"/>
        <w:gridCol w:w="993"/>
        <w:gridCol w:w="533"/>
      </w:tblGrid>
      <w:tr w:rsidR="007327A2" w:rsidRPr="008E3A84" w:rsidTr="006E64B2">
        <w:trPr>
          <w:trHeight w:val="401"/>
        </w:trPr>
        <w:tc>
          <w:tcPr>
            <w:tcW w:w="363" w:type="dxa"/>
            <w:vMerge w:val="restart"/>
            <w:tcBorders>
              <w:top w:val="nil"/>
              <w:left w:val="nil"/>
              <w:bottom w:val="nil"/>
              <w:right w:val="single" w:sz="4" w:space="0" w:color="auto"/>
            </w:tcBorders>
          </w:tcPr>
          <w:p w:rsidR="00C503AA" w:rsidRPr="008E3A84" w:rsidRDefault="00C503AA" w:rsidP="00812C59">
            <w:pPr>
              <w:autoSpaceDE w:val="0"/>
              <w:autoSpaceDN w:val="0"/>
              <w:adjustRightInd w:val="0"/>
            </w:pPr>
            <w:r w:rsidRPr="008E3A84">
              <w:t>«</w:t>
            </w:r>
          </w:p>
        </w:tc>
        <w:tc>
          <w:tcPr>
            <w:tcW w:w="7150" w:type="dxa"/>
            <w:tcBorders>
              <w:top w:val="single" w:sz="4" w:space="0" w:color="auto"/>
              <w:left w:val="single" w:sz="4" w:space="0" w:color="auto"/>
              <w:right w:val="single" w:sz="4" w:space="0" w:color="auto"/>
            </w:tcBorders>
            <w:vAlign w:val="center"/>
          </w:tcPr>
          <w:p w:rsidR="00C503AA" w:rsidRPr="008E3A84" w:rsidRDefault="00C503AA" w:rsidP="00812C59">
            <w:pPr>
              <w:autoSpaceDE w:val="0"/>
              <w:autoSpaceDN w:val="0"/>
              <w:adjustRightInd w:val="0"/>
              <w:jc w:val="center"/>
              <w:rPr>
                <w:b/>
              </w:rPr>
            </w:pPr>
            <w:r w:rsidRPr="008E3A84">
              <w:rPr>
                <w:b/>
              </w:rPr>
              <w:t>Товары</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p>
        </w:tc>
        <w:tc>
          <w:tcPr>
            <w:tcW w:w="993" w:type="dxa"/>
            <w:tcBorders>
              <w:top w:val="single" w:sz="4" w:space="0" w:color="auto"/>
              <w:left w:val="single" w:sz="4" w:space="0" w:color="auto"/>
              <w:right w:val="single" w:sz="4" w:space="0" w:color="auto"/>
            </w:tcBorders>
            <w:vAlign w:val="center"/>
          </w:tcPr>
          <w:p w:rsidR="00C503AA" w:rsidRPr="008E3A84" w:rsidRDefault="00C503AA" w:rsidP="00812C59">
            <w:pPr>
              <w:autoSpaceDE w:val="0"/>
              <w:autoSpaceDN w:val="0"/>
              <w:adjustRightInd w:val="0"/>
              <w:jc w:val="center"/>
            </w:pPr>
          </w:p>
        </w:tc>
        <w:tc>
          <w:tcPr>
            <w:tcW w:w="533" w:type="dxa"/>
            <w:tcBorders>
              <w:top w:val="nil"/>
              <w:left w:val="single" w:sz="4" w:space="0" w:color="auto"/>
              <w:bottom w:val="nil"/>
              <w:right w:val="nil"/>
            </w:tcBorders>
          </w:tcPr>
          <w:p w:rsidR="00C503AA" w:rsidRPr="008E3A84" w:rsidRDefault="00C503AA" w:rsidP="00812C59">
            <w:pPr>
              <w:autoSpaceDE w:val="0"/>
              <w:autoSpaceDN w:val="0"/>
              <w:adjustRightInd w:val="0"/>
              <w:jc w:val="center"/>
            </w:pPr>
          </w:p>
        </w:tc>
      </w:tr>
      <w:tr w:rsidR="007327A2" w:rsidRPr="008E3A84" w:rsidTr="006E64B2">
        <w:trPr>
          <w:trHeight w:val="401"/>
        </w:trPr>
        <w:tc>
          <w:tcPr>
            <w:tcW w:w="363" w:type="dxa"/>
            <w:vMerge/>
            <w:tcBorders>
              <w:top w:val="nil"/>
              <w:left w:val="nil"/>
              <w:bottom w:val="nil"/>
              <w:right w:val="single" w:sz="4" w:space="0" w:color="auto"/>
            </w:tcBorders>
          </w:tcPr>
          <w:p w:rsidR="00C503AA" w:rsidRPr="008E3A84" w:rsidRDefault="00C503AA" w:rsidP="00812C59">
            <w:pPr>
              <w:autoSpaceDE w:val="0"/>
              <w:autoSpaceDN w:val="0"/>
              <w:adjustRightInd w:val="0"/>
              <w:jc w:val="both"/>
            </w:pPr>
          </w:p>
        </w:tc>
        <w:tc>
          <w:tcPr>
            <w:tcW w:w="7150" w:type="dxa"/>
            <w:tcBorders>
              <w:left w:val="single" w:sz="4" w:space="0" w:color="auto"/>
              <w:right w:val="single" w:sz="4" w:space="0" w:color="auto"/>
            </w:tcBorders>
            <w:vAlign w:val="center"/>
          </w:tcPr>
          <w:p w:rsidR="00C503AA" w:rsidRPr="008E3A84" w:rsidRDefault="00C503AA" w:rsidP="00812C59">
            <w:pPr>
              <w:autoSpaceDE w:val="0"/>
              <w:autoSpaceDN w:val="0"/>
              <w:adjustRightInd w:val="0"/>
            </w:pPr>
            <w:r w:rsidRPr="008E3A84">
              <w:t>Товары с предварительной оплатой</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1111</w:t>
            </w:r>
          </w:p>
        </w:tc>
        <w:tc>
          <w:tcPr>
            <w:tcW w:w="993"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2111</w:t>
            </w:r>
          </w:p>
        </w:tc>
        <w:tc>
          <w:tcPr>
            <w:tcW w:w="533" w:type="dxa"/>
            <w:tcBorders>
              <w:top w:val="nil"/>
              <w:left w:val="single" w:sz="4" w:space="0" w:color="auto"/>
              <w:bottom w:val="nil"/>
              <w:right w:val="nil"/>
            </w:tcBorders>
          </w:tcPr>
          <w:p w:rsidR="00C503AA" w:rsidRPr="008E3A84" w:rsidRDefault="00C503AA" w:rsidP="00812C59">
            <w:pPr>
              <w:autoSpaceDE w:val="0"/>
              <w:autoSpaceDN w:val="0"/>
              <w:adjustRightInd w:val="0"/>
              <w:jc w:val="center"/>
            </w:pPr>
          </w:p>
        </w:tc>
      </w:tr>
      <w:tr w:rsidR="007327A2" w:rsidRPr="008E3A84" w:rsidTr="006E64B2">
        <w:trPr>
          <w:trHeight w:val="401"/>
        </w:trPr>
        <w:tc>
          <w:tcPr>
            <w:tcW w:w="363" w:type="dxa"/>
            <w:vMerge/>
            <w:tcBorders>
              <w:top w:val="nil"/>
              <w:left w:val="nil"/>
              <w:bottom w:val="nil"/>
              <w:right w:val="single" w:sz="4" w:space="0" w:color="auto"/>
            </w:tcBorders>
          </w:tcPr>
          <w:p w:rsidR="00C503AA" w:rsidRPr="008E3A84" w:rsidRDefault="00C503AA" w:rsidP="00812C59">
            <w:pPr>
              <w:autoSpaceDE w:val="0"/>
              <w:autoSpaceDN w:val="0"/>
              <w:adjustRightInd w:val="0"/>
              <w:jc w:val="both"/>
            </w:pPr>
          </w:p>
        </w:tc>
        <w:tc>
          <w:tcPr>
            <w:tcW w:w="7150" w:type="dxa"/>
            <w:tcBorders>
              <w:left w:val="single" w:sz="4" w:space="0" w:color="auto"/>
              <w:bottom w:val="single" w:sz="4" w:space="0" w:color="auto"/>
              <w:right w:val="single" w:sz="4" w:space="0" w:color="auto"/>
            </w:tcBorders>
            <w:vAlign w:val="center"/>
          </w:tcPr>
          <w:p w:rsidR="00C503AA" w:rsidRPr="008E3A84" w:rsidRDefault="00C503AA" w:rsidP="00812C59">
            <w:pPr>
              <w:autoSpaceDE w:val="0"/>
              <w:autoSpaceDN w:val="0"/>
              <w:adjustRightInd w:val="0"/>
            </w:pPr>
            <w:r w:rsidRPr="008E3A84">
              <w:t>Товары с оплатой после доставки</w:t>
            </w:r>
          </w:p>
        </w:tc>
        <w:tc>
          <w:tcPr>
            <w:tcW w:w="992"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1112</w:t>
            </w:r>
          </w:p>
        </w:tc>
        <w:tc>
          <w:tcPr>
            <w:tcW w:w="993" w:type="dxa"/>
            <w:tcBorders>
              <w:left w:val="single" w:sz="4" w:space="0" w:color="auto"/>
              <w:bottom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2112</w:t>
            </w:r>
          </w:p>
        </w:tc>
        <w:tc>
          <w:tcPr>
            <w:tcW w:w="533" w:type="dxa"/>
            <w:tcBorders>
              <w:top w:val="nil"/>
              <w:left w:val="single" w:sz="4" w:space="0" w:color="auto"/>
              <w:bottom w:val="nil"/>
              <w:right w:val="nil"/>
            </w:tcBorders>
            <w:vAlign w:val="bottom"/>
          </w:tcPr>
          <w:p w:rsidR="00C503AA" w:rsidRPr="008E3A84" w:rsidRDefault="00C503AA" w:rsidP="00E73CC9">
            <w:pPr>
              <w:autoSpaceDE w:val="0"/>
              <w:autoSpaceDN w:val="0"/>
              <w:adjustRightInd w:val="0"/>
            </w:pPr>
            <w:r w:rsidRPr="008E3A84">
              <w:t>»</w:t>
            </w:r>
          </w:p>
        </w:tc>
      </w:tr>
    </w:tbl>
    <w:p w:rsidR="00C503AA" w:rsidRPr="008E3A84" w:rsidRDefault="00C503AA" w:rsidP="00C503AA">
      <w:pPr>
        <w:tabs>
          <w:tab w:val="left" w:pos="142"/>
        </w:tabs>
        <w:jc w:val="both"/>
      </w:pPr>
      <w:r w:rsidRPr="008E3A84">
        <w:t>дополнить строкой следующего содержания:</w:t>
      </w:r>
    </w:p>
    <w:tbl>
      <w:tblPr>
        <w:tblStyle w:val="af2"/>
        <w:tblW w:w="10031" w:type="dxa"/>
        <w:tblLayout w:type="fixed"/>
        <w:tblLook w:val="04A0"/>
      </w:tblPr>
      <w:tblGrid>
        <w:gridCol w:w="379"/>
        <w:gridCol w:w="7134"/>
        <w:gridCol w:w="1100"/>
        <w:gridCol w:w="885"/>
        <w:gridCol w:w="533"/>
      </w:tblGrid>
      <w:tr w:rsidR="007327A2" w:rsidRPr="008E3A84" w:rsidTr="006E64B2">
        <w:trPr>
          <w:trHeight w:val="401"/>
        </w:trPr>
        <w:tc>
          <w:tcPr>
            <w:tcW w:w="379" w:type="dxa"/>
            <w:tcBorders>
              <w:top w:val="nil"/>
              <w:left w:val="nil"/>
              <w:bottom w:val="nil"/>
              <w:right w:val="single" w:sz="4" w:space="0" w:color="auto"/>
            </w:tcBorders>
          </w:tcPr>
          <w:p w:rsidR="00C503AA" w:rsidRPr="008E3A84" w:rsidRDefault="00C503AA" w:rsidP="00812C59">
            <w:pPr>
              <w:autoSpaceDE w:val="0"/>
              <w:autoSpaceDN w:val="0"/>
              <w:adjustRightInd w:val="0"/>
            </w:pPr>
            <w:r w:rsidRPr="008E3A84">
              <w:t>«</w:t>
            </w:r>
          </w:p>
        </w:tc>
        <w:tc>
          <w:tcPr>
            <w:tcW w:w="7134" w:type="dxa"/>
            <w:tcBorders>
              <w:top w:val="single" w:sz="4" w:space="0" w:color="auto"/>
              <w:left w:val="single" w:sz="4" w:space="0" w:color="auto"/>
              <w:right w:val="single" w:sz="4" w:space="0" w:color="auto"/>
            </w:tcBorders>
            <w:vAlign w:val="center"/>
          </w:tcPr>
          <w:p w:rsidR="00C503AA" w:rsidRPr="008E3A84" w:rsidRDefault="00C503AA" w:rsidP="00812C59">
            <w:pPr>
              <w:autoSpaceDE w:val="0"/>
              <w:autoSpaceDN w:val="0"/>
              <w:adjustRightInd w:val="0"/>
            </w:pPr>
            <w:r w:rsidRPr="008E3A84">
              <w:t xml:space="preserve">Оплата товаров, которые не вывозятся за пределы территории ПМР </w:t>
            </w:r>
          </w:p>
        </w:tc>
        <w:tc>
          <w:tcPr>
            <w:tcW w:w="1100" w:type="dxa"/>
            <w:tcBorders>
              <w:left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1113</w:t>
            </w:r>
          </w:p>
        </w:tc>
        <w:tc>
          <w:tcPr>
            <w:tcW w:w="885" w:type="dxa"/>
            <w:tcBorders>
              <w:top w:val="single" w:sz="4" w:space="0" w:color="auto"/>
              <w:left w:val="single" w:sz="4" w:space="0" w:color="auto"/>
              <w:bottom w:val="single" w:sz="4" w:space="0" w:color="auto"/>
              <w:right w:val="single" w:sz="4" w:space="0" w:color="auto"/>
            </w:tcBorders>
            <w:vAlign w:val="center"/>
          </w:tcPr>
          <w:p w:rsidR="00C503AA" w:rsidRPr="008E3A84" w:rsidRDefault="00C503AA" w:rsidP="00812C59">
            <w:pPr>
              <w:autoSpaceDE w:val="0"/>
              <w:autoSpaceDN w:val="0"/>
              <w:adjustRightInd w:val="0"/>
              <w:jc w:val="center"/>
            </w:pPr>
            <w:r w:rsidRPr="008E3A84">
              <w:t>2113</w:t>
            </w:r>
          </w:p>
        </w:tc>
        <w:tc>
          <w:tcPr>
            <w:tcW w:w="533" w:type="dxa"/>
            <w:tcBorders>
              <w:top w:val="nil"/>
              <w:left w:val="single" w:sz="4" w:space="0" w:color="auto"/>
              <w:bottom w:val="nil"/>
              <w:right w:val="nil"/>
            </w:tcBorders>
            <w:vAlign w:val="bottom"/>
          </w:tcPr>
          <w:p w:rsidR="00C503AA" w:rsidRPr="008E3A84" w:rsidRDefault="00C503AA" w:rsidP="00E73CC9">
            <w:pPr>
              <w:autoSpaceDE w:val="0"/>
              <w:autoSpaceDN w:val="0"/>
              <w:adjustRightInd w:val="0"/>
            </w:pPr>
            <w:r w:rsidRPr="008E3A84">
              <w:t>»;</w:t>
            </w:r>
          </w:p>
        </w:tc>
      </w:tr>
    </w:tbl>
    <w:p w:rsidR="00EF655C" w:rsidRPr="00904485" w:rsidRDefault="009E4D89" w:rsidP="00EA2D97">
      <w:pPr>
        <w:autoSpaceDE w:val="0"/>
        <w:autoSpaceDN w:val="0"/>
        <w:adjustRightInd w:val="0"/>
        <w:ind w:firstLine="709"/>
        <w:jc w:val="both"/>
      </w:pPr>
      <w:r w:rsidRPr="00904485">
        <w:t>р</w:t>
      </w:r>
      <w:r w:rsidR="00717759" w:rsidRPr="00904485">
        <w:t xml:space="preserve">) </w:t>
      </w:r>
      <w:r w:rsidRPr="00904485">
        <w:t>в строке 15 таблицы бланка отчета «Сведения о прямых и портфельных инвестициях хозяйствующего субъекта»</w:t>
      </w:r>
      <w:r w:rsidR="001B2DD9">
        <w:t xml:space="preserve"> </w:t>
      </w:r>
      <w:r w:rsidR="00367BAD" w:rsidRPr="00904485">
        <w:t xml:space="preserve">Приложения N 2 к Инструкции </w:t>
      </w:r>
      <w:r w:rsidR="00EF655C" w:rsidRPr="00904485">
        <w:t>слова «на срок до 180 дней» заменить словами «на срок до 1 года включительно»;</w:t>
      </w:r>
    </w:p>
    <w:p w:rsidR="00EF655C" w:rsidRPr="00904485" w:rsidRDefault="00EF655C" w:rsidP="00EA2D97">
      <w:pPr>
        <w:autoSpaceDE w:val="0"/>
        <w:autoSpaceDN w:val="0"/>
        <w:adjustRightInd w:val="0"/>
        <w:ind w:firstLine="709"/>
        <w:jc w:val="both"/>
      </w:pPr>
      <w:r w:rsidRPr="00904485">
        <w:t xml:space="preserve">с) в строке 16 таблицы бланка отчета «Сведения о прямых и портфельных инвестициях хозяйствующего субъекта» </w:t>
      </w:r>
      <w:r w:rsidR="00367BAD" w:rsidRPr="00904485">
        <w:t xml:space="preserve">Приложения N 2 к Инструкции </w:t>
      </w:r>
      <w:r w:rsidRPr="00904485">
        <w:t>слова «на срок свыше 180 дней» заменить словами «на срок свыше 1 года»;</w:t>
      </w:r>
    </w:p>
    <w:p w:rsidR="003174B5" w:rsidRPr="00904485" w:rsidRDefault="00EF655C" w:rsidP="00EA2D97">
      <w:pPr>
        <w:autoSpaceDE w:val="0"/>
        <w:autoSpaceDN w:val="0"/>
        <w:adjustRightInd w:val="0"/>
        <w:ind w:firstLine="709"/>
        <w:jc w:val="both"/>
      </w:pPr>
      <w:r w:rsidRPr="00904485">
        <w:t xml:space="preserve">т) </w:t>
      </w:r>
      <w:r w:rsidR="00D129FD" w:rsidRPr="00904485">
        <w:t xml:space="preserve">в </w:t>
      </w:r>
      <w:r w:rsidR="009E4D89" w:rsidRPr="00904485">
        <w:t xml:space="preserve">строке 22 таблицы бланка отчета </w:t>
      </w:r>
      <w:r w:rsidRPr="00904485">
        <w:t>«</w:t>
      </w:r>
      <w:r w:rsidR="009E4D89" w:rsidRPr="00904485">
        <w:t>Сведения о прочих инвестициях хозяйствующего субъекта</w:t>
      </w:r>
      <w:r w:rsidRPr="00904485">
        <w:t>»</w:t>
      </w:r>
      <w:r w:rsidR="001B2DD9">
        <w:t xml:space="preserve"> </w:t>
      </w:r>
      <w:r w:rsidR="00367BAD" w:rsidRPr="00904485">
        <w:t xml:space="preserve">Приложения N 2 к Инструкции </w:t>
      </w:r>
      <w:r w:rsidR="003174B5" w:rsidRPr="00904485">
        <w:t>слова «на срок до 180 дней» заменить словами «на срок до 1 года включительно»;</w:t>
      </w:r>
    </w:p>
    <w:p w:rsidR="006C1893" w:rsidRPr="00904485" w:rsidRDefault="00B424A9" w:rsidP="00EA2D97">
      <w:pPr>
        <w:autoSpaceDE w:val="0"/>
        <w:autoSpaceDN w:val="0"/>
        <w:adjustRightInd w:val="0"/>
        <w:ind w:firstLine="709"/>
        <w:jc w:val="both"/>
      </w:pPr>
      <w:r w:rsidRPr="00904485">
        <w:t>у) в строке 23</w:t>
      </w:r>
      <w:r w:rsidR="006C1893" w:rsidRPr="00904485">
        <w:t xml:space="preserve"> таблицы бланка отчета «Сведения о прочих инвестициях хозяйствующего субъекта» Приложения N 2 к Инструкции слова «на срок свыше 180 дней» заменить словами «на срок свыше 1 года»;</w:t>
      </w:r>
    </w:p>
    <w:p w:rsidR="003174B5" w:rsidRDefault="006C1893" w:rsidP="00EA2D97">
      <w:pPr>
        <w:autoSpaceDE w:val="0"/>
        <w:autoSpaceDN w:val="0"/>
        <w:adjustRightInd w:val="0"/>
        <w:ind w:firstLine="709"/>
        <w:jc w:val="both"/>
        <w:rPr>
          <w:color w:val="FF0000"/>
        </w:rPr>
      </w:pPr>
      <w:r w:rsidRPr="00904485">
        <w:t>ф</w:t>
      </w:r>
      <w:r w:rsidR="003174B5" w:rsidRPr="00904485">
        <w:t xml:space="preserve">) </w:t>
      </w:r>
      <w:r w:rsidR="003174B5" w:rsidRPr="008E3A84">
        <w:t xml:space="preserve">пункт 10 Приложения N 2 </w:t>
      </w:r>
      <w:r w:rsidR="003174B5" w:rsidRPr="00904485">
        <w:t>к Инструкции</w:t>
      </w:r>
      <w:r w:rsidR="003174B5" w:rsidRPr="008E3A84">
        <w:t xml:space="preserve"> изложить в следующей редакции:</w:t>
      </w:r>
    </w:p>
    <w:p w:rsidR="000558A5" w:rsidRDefault="003174B5" w:rsidP="00EA2D97">
      <w:pPr>
        <w:autoSpaceDE w:val="0"/>
        <w:autoSpaceDN w:val="0"/>
        <w:adjustRightInd w:val="0"/>
        <w:ind w:firstLine="709"/>
        <w:jc w:val="both"/>
      </w:pPr>
      <w:r w:rsidRPr="008E3A84">
        <w:t>«10. Отчет формируется на основании сводных данных по хозяйствующему субъекту (включая филиалы, независимо от места их расположения) и представляется в обслуживающий банк ежеквартально, нарастающим итогом с начала года, не позднее 25 числа месяца, следующего за отчетным периодом. Отчет за январь – декабрь представляется в обслуживающий банк не позднее 1 февраля года, следующего за отчетным периодом.»;</w:t>
      </w:r>
    </w:p>
    <w:p w:rsidR="000558A5" w:rsidRPr="00367BAD" w:rsidRDefault="006C1893" w:rsidP="00EA2D97">
      <w:pPr>
        <w:autoSpaceDE w:val="0"/>
        <w:autoSpaceDN w:val="0"/>
        <w:adjustRightInd w:val="0"/>
        <w:ind w:firstLine="709"/>
        <w:jc w:val="both"/>
      </w:pPr>
      <w:r>
        <w:t>х</w:t>
      </w:r>
      <w:r w:rsidR="003174B5" w:rsidRPr="00367BAD">
        <w:t>)</w:t>
      </w:r>
      <w:r w:rsidR="000558A5" w:rsidRPr="00367BAD">
        <w:t xml:space="preserve"> дополнить Приложение N 2 к Инструкции пунктом 10-1 следующего содержания: </w:t>
      </w:r>
    </w:p>
    <w:p w:rsidR="00367BAD" w:rsidRDefault="000558A5" w:rsidP="00EA2D97">
      <w:pPr>
        <w:autoSpaceDE w:val="0"/>
        <w:autoSpaceDN w:val="0"/>
        <w:adjustRightInd w:val="0"/>
        <w:ind w:firstLine="709"/>
        <w:jc w:val="both"/>
      </w:pPr>
      <w:r w:rsidRPr="00367BAD">
        <w:t xml:space="preserve">«10-1. Допускается </w:t>
      </w:r>
      <w:r w:rsidRPr="00904485">
        <w:t>составление и представление</w:t>
      </w:r>
      <w:r w:rsidRPr="00367BAD">
        <w:t xml:space="preserve"> отчета на бумажном носителе в соответствии с формой бланка отчета «Сведения о внешнеэкономической деятельности хозяйствующего субъекта», изложенной в Приложении </w:t>
      </w:r>
      <w:r w:rsidRPr="00367BAD">
        <w:rPr>
          <w:lang w:val="en-US"/>
        </w:rPr>
        <w:t>N</w:t>
      </w:r>
      <w:r w:rsidRPr="00367BAD">
        <w:t xml:space="preserve"> 2 к настоящей Инструкции, или в электронном виде в соответствии со структурой форматного электронного документа Отчета 2-ПБ, изложенной в Приложении </w:t>
      </w:r>
      <w:r w:rsidRPr="00367BAD">
        <w:rPr>
          <w:lang w:val="en-US"/>
        </w:rPr>
        <w:t>N</w:t>
      </w:r>
      <w:r w:rsidRPr="00367BAD">
        <w:t xml:space="preserve"> 8 к настоящей Инструкции, с использованием действующих комплексов дистанционного обслуживания кредитной организации (Клиент-Банк, Интернет-Банк и т.п.).</w:t>
      </w:r>
    </w:p>
    <w:p w:rsidR="00367BAD" w:rsidRPr="00904485" w:rsidRDefault="000558A5" w:rsidP="00EA2D97">
      <w:pPr>
        <w:autoSpaceDE w:val="0"/>
        <w:autoSpaceDN w:val="0"/>
        <w:adjustRightInd w:val="0"/>
        <w:ind w:firstLine="709"/>
        <w:jc w:val="both"/>
      </w:pPr>
      <w:r w:rsidRPr="00904485">
        <w:t>Отчет, составленный на бумажном носителе, заверяется подписями руководителя хозяйствующего субъекта или уполномоченного им лица, главного бухгалтера организации и печатью организации.</w:t>
      </w:r>
    </w:p>
    <w:p w:rsidR="00367BAD" w:rsidRDefault="000558A5" w:rsidP="00EA2D97">
      <w:pPr>
        <w:autoSpaceDE w:val="0"/>
        <w:autoSpaceDN w:val="0"/>
        <w:adjustRightInd w:val="0"/>
        <w:ind w:firstLine="709"/>
        <w:jc w:val="both"/>
      </w:pPr>
      <w:r w:rsidRPr="00904485">
        <w:lastRenderedPageBreak/>
        <w:t>Отчет, представленный в электронном виде, заверяется электронной подписью хозяйствующего субъекта.»;</w:t>
      </w:r>
    </w:p>
    <w:p w:rsidR="00367BAD" w:rsidRDefault="006C1893" w:rsidP="00EA2D97">
      <w:pPr>
        <w:autoSpaceDE w:val="0"/>
        <w:autoSpaceDN w:val="0"/>
        <w:adjustRightInd w:val="0"/>
        <w:ind w:firstLine="709"/>
        <w:jc w:val="both"/>
      </w:pPr>
      <w:r>
        <w:t>ц</w:t>
      </w:r>
      <w:r w:rsidR="000558A5" w:rsidRPr="000558A5">
        <w:t>) пункт 11 Приложения N 2 к Инструкции изложить в следующей редакции:</w:t>
      </w:r>
    </w:p>
    <w:p w:rsidR="00367BAD" w:rsidRDefault="000558A5" w:rsidP="00EA2D97">
      <w:pPr>
        <w:autoSpaceDE w:val="0"/>
        <w:autoSpaceDN w:val="0"/>
        <w:adjustRightInd w:val="0"/>
        <w:ind w:firstLine="709"/>
        <w:jc w:val="both"/>
      </w:pPr>
      <w:r w:rsidRPr="000558A5">
        <w:t>«11. К отчетам, поступающим в обслуживающие банки как на бумажном носителе, так и в электронном виде позже отчетной даты и (или) с откорректированными данными за предшествующие отчетные периоды, хозяйствующий субъект прилагает письменное обоснование нарушения отчетных сроков или произведенных корректировок, оформленное в адрес Приднестровского республиканского банка, заверенное подписями руководителя хозяйствующего субъекта или уполномоченного им лица, главного бухгалтера организации и печатью организации.»;</w:t>
      </w:r>
    </w:p>
    <w:p w:rsidR="00367BAD" w:rsidRDefault="006C1893" w:rsidP="00EA2D97">
      <w:pPr>
        <w:autoSpaceDE w:val="0"/>
        <w:autoSpaceDN w:val="0"/>
        <w:adjustRightInd w:val="0"/>
        <w:ind w:firstLine="709"/>
        <w:jc w:val="both"/>
      </w:pPr>
      <w:r>
        <w:t>ч</w:t>
      </w:r>
      <w:r w:rsidR="000558A5" w:rsidRPr="000558A5">
        <w:t xml:space="preserve">) пункт 13 Приложения </w:t>
      </w:r>
      <w:r w:rsidR="000558A5" w:rsidRPr="000558A5">
        <w:rPr>
          <w:lang w:val="en-US"/>
        </w:rPr>
        <w:t>N</w:t>
      </w:r>
      <w:r w:rsidR="000558A5" w:rsidRPr="000558A5">
        <w:t xml:space="preserve"> 2 к Инструкции</w:t>
      </w:r>
      <w:r w:rsidR="00367BAD">
        <w:t xml:space="preserve"> изложить в следующей редакции:</w:t>
      </w:r>
    </w:p>
    <w:p w:rsidR="00367BAD" w:rsidRDefault="000558A5" w:rsidP="00EA2D97">
      <w:pPr>
        <w:autoSpaceDE w:val="0"/>
        <w:autoSpaceDN w:val="0"/>
        <w:adjustRightInd w:val="0"/>
        <w:ind w:firstLine="709"/>
        <w:jc w:val="both"/>
      </w:pPr>
      <w:r w:rsidRPr="000558A5">
        <w:t xml:space="preserve">«13. При приеме отчета, </w:t>
      </w:r>
      <w:r w:rsidRPr="00904485">
        <w:t>составленного</w:t>
      </w:r>
      <w:r w:rsidRPr="000558A5">
        <w:t xml:space="preserve"> на бумажном носителе, уполномоченное лицо обслуживающего банка проверяет полноту и правильность заполнения титульного листа бланка отчета. </w:t>
      </w:r>
    </w:p>
    <w:p w:rsidR="00367BAD" w:rsidRDefault="000558A5" w:rsidP="00EA2D97">
      <w:pPr>
        <w:autoSpaceDE w:val="0"/>
        <w:autoSpaceDN w:val="0"/>
        <w:adjustRightInd w:val="0"/>
        <w:ind w:firstLine="709"/>
        <w:jc w:val="both"/>
      </w:pPr>
      <w:r w:rsidRPr="007660C6">
        <w:t>Если отчет</w:t>
      </w:r>
      <w:r w:rsidR="001B2DD9">
        <w:t xml:space="preserve"> </w:t>
      </w:r>
      <w:r w:rsidRPr="00904485">
        <w:t>представлен</w:t>
      </w:r>
      <w:r w:rsidR="001B2DD9">
        <w:t xml:space="preserve"> </w:t>
      </w:r>
      <w:r w:rsidRPr="007660C6">
        <w:t xml:space="preserve">в электронном виде, то обслуживающий банк проверяет полноту и правильность заполнения полей на соответствие структуре форматного электронного документа Отчета 2-ПБ, изложенной в Приложении </w:t>
      </w:r>
      <w:r w:rsidRPr="007660C6">
        <w:rPr>
          <w:lang w:val="en-US"/>
        </w:rPr>
        <w:t>N</w:t>
      </w:r>
      <w:r w:rsidRPr="007660C6">
        <w:t xml:space="preserve"> 8 к настоящей Инструкции.»;</w:t>
      </w:r>
    </w:p>
    <w:p w:rsidR="00367BAD" w:rsidRDefault="006C1893" w:rsidP="00EA2D97">
      <w:pPr>
        <w:autoSpaceDE w:val="0"/>
        <w:autoSpaceDN w:val="0"/>
        <w:adjustRightInd w:val="0"/>
        <w:ind w:firstLine="709"/>
        <w:jc w:val="both"/>
      </w:pPr>
      <w:r>
        <w:t>ш</w:t>
      </w:r>
      <w:r w:rsidR="00BE4C47">
        <w:t xml:space="preserve">) </w:t>
      </w:r>
      <w:r w:rsidR="00687690" w:rsidRPr="008E3A84">
        <w:t xml:space="preserve">пункт 14 Приложения </w:t>
      </w:r>
      <w:r w:rsidR="00687690" w:rsidRPr="008E3A84">
        <w:rPr>
          <w:lang w:val="en-US"/>
        </w:rPr>
        <w:t>N</w:t>
      </w:r>
      <w:r w:rsidR="00687690" w:rsidRPr="008E3A84">
        <w:t xml:space="preserve"> 2 к Инструкции изложить в следующей редакции</w:t>
      </w:r>
      <w:r w:rsidR="00367BAD">
        <w:t>:</w:t>
      </w:r>
    </w:p>
    <w:p w:rsidR="00367BAD" w:rsidRDefault="00687690" w:rsidP="00EA2D97">
      <w:pPr>
        <w:autoSpaceDE w:val="0"/>
        <w:autoSpaceDN w:val="0"/>
        <w:adjustRightInd w:val="0"/>
        <w:ind w:firstLine="709"/>
        <w:jc w:val="both"/>
      </w:pPr>
      <w:r w:rsidRPr="00687690">
        <w:t xml:space="preserve">«14. В случае представления отчета, </w:t>
      </w:r>
      <w:r w:rsidRPr="00904485">
        <w:t>составленного</w:t>
      </w:r>
      <w:r w:rsidRPr="00687690">
        <w:t xml:space="preserve"> на бумажном носителе, если по итогам отчетного периода какой-нибудь раздел отчета имеет нулевые значения, в графе «наличие данных (ненужное зачеркнуть)» Перечня разделов отчета (на титульной странице отчетной формы) делается соответствующая отметка. Разделы, имеющие нулевые данные, не представляются. Допускается двусторонняя печать разделов отчета.»;</w:t>
      </w:r>
    </w:p>
    <w:p w:rsidR="00367BAD" w:rsidRDefault="006C1893" w:rsidP="00EA2D97">
      <w:pPr>
        <w:autoSpaceDE w:val="0"/>
        <w:autoSpaceDN w:val="0"/>
        <w:adjustRightInd w:val="0"/>
        <w:ind w:firstLine="709"/>
        <w:jc w:val="both"/>
      </w:pPr>
      <w:r>
        <w:t>щ</w:t>
      </w:r>
      <w:r w:rsidR="00750EE6">
        <w:t>)</w:t>
      </w:r>
      <w:r w:rsidR="001B2DD9">
        <w:t xml:space="preserve"> </w:t>
      </w:r>
      <w:r w:rsidR="00750EE6" w:rsidRPr="008E3A84">
        <w:t>Приложение N 2 к Инструкции дополнить пунктом 14-1 следующего содержания:</w:t>
      </w:r>
    </w:p>
    <w:p w:rsidR="00367BAD" w:rsidRDefault="00750EE6" w:rsidP="00EA2D97">
      <w:pPr>
        <w:autoSpaceDE w:val="0"/>
        <w:autoSpaceDN w:val="0"/>
        <w:adjustRightInd w:val="0"/>
        <w:ind w:firstLine="709"/>
        <w:jc w:val="both"/>
      </w:pPr>
      <w:r>
        <w:t>«</w:t>
      </w:r>
      <w:r w:rsidRPr="00991A1C">
        <w:t xml:space="preserve">14-1. В случае отсутствия у отчитывающегося субъекта-клиента банка в данном отчетном периоде внешнеэкономической деятельности, предусмотренной пунктом 2 Приложения N 2 к Инструкции, отчитывающаяся организация обязана уведомить об этом свой обслуживающий банк </w:t>
      </w:r>
      <w:r w:rsidRPr="00904485">
        <w:t>посредством системы</w:t>
      </w:r>
      <w:r w:rsidRPr="00991A1C">
        <w:t xml:space="preserve"> Клиент-Банк, Интернет-Банк и т.п., заполнив в электронной форме отчета поля 1-7, а в остальных полях отчета простави</w:t>
      </w:r>
      <w:r w:rsidRPr="00904485">
        <w:t>в</w:t>
      </w:r>
      <w:r w:rsidRPr="00991A1C">
        <w:t xml:space="preserve"> «0» (ноль), либо любым другим способом, в виде информационного сообщения (исключительно в письменной форме), предусмотренным внутренними правилами (регламентом) обслуживающего банка. В этом </w:t>
      </w:r>
      <w:r w:rsidRPr="00904485">
        <w:t>случае обслуживающий банк самостоятельно производит заполнение электронной формы отчета, отражая информацию в полях</w:t>
      </w:r>
      <w:r w:rsidRPr="00991A1C">
        <w:t xml:space="preserve"> 1-7 отчета, а в остальных – проставляя нулевые значения.</w:t>
      </w:r>
      <w:r>
        <w:t>»;</w:t>
      </w:r>
    </w:p>
    <w:p w:rsidR="00367BAD" w:rsidRDefault="006C1893" w:rsidP="00EA2D97">
      <w:pPr>
        <w:autoSpaceDE w:val="0"/>
        <w:autoSpaceDN w:val="0"/>
        <w:adjustRightInd w:val="0"/>
        <w:ind w:firstLine="709"/>
        <w:jc w:val="both"/>
      </w:pPr>
      <w:r>
        <w:t>ы</w:t>
      </w:r>
      <w:r w:rsidR="009D2DB5">
        <w:t xml:space="preserve">) </w:t>
      </w:r>
      <w:r w:rsidR="009D2DB5" w:rsidRPr="008E3A84">
        <w:t>пункт 15 Приложения N 2 к Инструкции изложить в следующей редакции:</w:t>
      </w:r>
    </w:p>
    <w:p w:rsidR="00367BAD" w:rsidRDefault="009D2DB5" w:rsidP="00EA2D97">
      <w:pPr>
        <w:autoSpaceDE w:val="0"/>
        <w:autoSpaceDN w:val="0"/>
        <w:adjustRightInd w:val="0"/>
        <w:ind w:firstLine="709"/>
        <w:jc w:val="both"/>
      </w:pPr>
      <w:r>
        <w:t>«</w:t>
      </w:r>
      <w:r w:rsidRPr="00991A1C">
        <w:t>15. Отчеты, представленные клиентами кредитной организации на бумажном носителе в регламентированные настоящей Инструкцией сроки (согласно пункту 10 Приложения N 2 к настоящей Инструкции), обслуживающий банк передает в Приднестровский республиканский банк в течение 2 рабочих дней со дня наступления указанного срока с приложением сопроводительного письма, в котором указывается перечень представленных отчетов в разрезе наименований организаций.</w:t>
      </w:r>
    </w:p>
    <w:p w:rsidR="00367BAD" w:rsidRDefault="009D2DB5" w:rsidP="00EA2D97">
      <w:pPr>
        <w:autoSpaceDE w:val="0"/>
        <w:autoSpaceDN w:val="0"/>
        <w:adjustRightInd w:val="0"/>
        <w:ind w:firstLine="709"/>
        <w:jc w:val="both"/>
      </w:pPr>
      <w:r w:rsidRPr="00991A1C">
        <w:t>Отчеты, представленные клиентами кредитной организации на бумажном носителе после наступления отчетной даты и (или) с откорректированными данными за предшествующие отчетные периоды, направляются в Приднестровский республиканский банк с сопроводительным письмом, в котором указывается перечень предоставленных отчетов в разрезе наименований организаций и отчетных периодов, без повторного представления откорректированного реестра, указанного в подпункте д) пункта 6 Главы 1 настоящей Инструкции.</w:t>
      </w:r>
      <w:r>
        <w:t>»;</w:t>
      </w:r>
    </w:p>
    <w:p w:rsidR="00367BAD" w:rsidRDefault="006C1893" w:rsidP="00EA2D97">
      <w:pPr>
        <w:autoSpaceDE w:val="0"/>
        <w:autoSpaceDN w:val="0"/>
        <w:adjustRightInd w:val="0"/>
        <w:ind w:firstLine="709"/>
        <w:jc w:val="both"/>
      </w:pPr>
      <w:r>
        <w:t>э</w:t>
      </w:r>
      <w:r w:rsidR="009D2DB5">
        <w:t xml:space="preserve">) </w:t>
      </w:r>
      <w:r w:rsidR="009D2DB5" w:rsidRPr="008E3A84">
        <w:t>пункт 18 Приложения N 2 к Инструкции изложить в следующей редакции:</w:t>
      </w:r>
    </w:p>
    <w:p w:rsidR="00367BAD" w:rsidRDefault="009D2DB5" w:rsidP="00EA2D97">
      <w:pPr>
        <w:autoSpaceDE w:val="0"/>
        <w:autoSpaceDN w:val="0"/>
        <w:adjustRightInd w:val="0"/>
        <w:ind w:firstLine="709"/>
        <w:jc w:val="both"/>
      </w:pPr>
      <w:r>
        <w:t>«</w:t>
      </w:r>
      <w:r w:rsidRPr="00072FF7">
        <w:t xml:space="preserve">18. Отчеты, предоставленные клиентами кредитной организации в электронном виде, направляются в Приднестровский республиканский банк </w:t>
      </w:r>
      <w:r w:rsidRPr="00904485">
        <w:t>посредством системы обмена</w:t>
      </w:r>
      <w:r w:rsidRPr="00072FF7">
        <w:t xml:space="preserve"> информационных сообщений (СОИС), по мере их поступления в обслуживающий банк, без сопроводительного письма обслуживающего банка и без повторного представления </w:t>
      </w:r>
      <w:r w:rsidRPr="00072FF7">
        <w:lastRenderedPageBreak/>
        <w:t>откорректированного реестра, указанного в подпункте д) пункта 6 Главы 1 настоящей Инструкции.</w:t>
      </w:r>
      <w:r>
        <w:t>»;</w:t>
      </w:r>
    </w:p>
    <w:p w:rsidR="00367BAD" w:rsidRDefault="006C1893" w:rsidP="00EA2D97">
      <w:pPr>
        <w:autoSpaceDE w:val="0"/>
        <w:autoSpaceDN w:val="0"/>
        <w:adjustRightInd w:val="0"/>
        <w:ind w:firstLine="709"/>
        <w:jc w:val="both"/>
      </w:pPr>
      <w:r>
        <w:t>ю</w:t>
      </w:r>
      <w:r w:rsidR="009D2DB5">
        <w:t xml:space="preserve">) </w:t>
      </w:r>
      <w:r w:rsidR="009D2DB5" w:rsidRPr="008E3A84">
        <w:t>пункт 19 Приложения N 2 к Инструкции изложить в следующей редакции:</w:t>
      </w:r>
    </w:p>
    <w:p w:rsidR="00367BAD" w:rsidRDefault="009D2DB5" w:rsidP="00EA2D97">
      <w:pPr>
        <w:autoSpaceDE w:val="0"/>
        <w:autoSpaceDN w:val="0"/>
        <w:adjustRightInd w:val="0"/>
        <w:ind w:firstLine="709"/>
        <w:jc w:val="both"/>
      </w:pPr>
      <w:r>
        <w:t>«</w:t>
      </w:r>
      <w:r w:rsidRPr="00991A1C">
        <w:t xml:space="preserve">19. После завершения обработки отчетов, поступивших в центральный банк на бумажном носителе и в электронном виде, в том числе поступивших позже отчетной даты и (или) с откорректированными данными за прошлые отчетные периоды, Приднестровский республиканский банк направляет обслуживающему банку Реестр принятых отчетов клиентов банка по форме отчета 2-ПБ «Сведения о внешнеэкономической деятельности хозяйствующего субъекта» за отчетный период в электронном виде </w:t>
      </w:r>
      <w:r w:rsidRPr="00904485">
        <w:t>посредством системы обмена</w:t>
      </w:r>
      <w:r w:rsidRPr="00991A1C">
        <w:t xml:space="preserve"> информационных сообщений (СОИС), (в разрезе наименования отчитавшейся организации, даты представления отчета и регистрационного номера, присвоенного отчету).</w:t>
      </w:r>
      <w:r>
        <w:t>»;</w:t>
      </w:r>
    </w:p>
    <w:p w:rsidR="00367BAD" w:rsidRPr="00904485" w:rsidRDefault="006C1893" w:rsidP="00EA2D97">
      <w:pPr>
        <w:autoSpaceDE w:val="0"/>
        <w:autoSpaceDN w:val="0"/>
        <w:adjustRightInd w:val="0"/>
        <w:ind w:firstLine="709"/>
        <w:jc w:val="both"/>
      </w:pPr>
      <w:r w:rsidRPr="00904485">
        <w:t>я</w:t>
      </w:r>
      <w:r w:rsidR="00D129FD" w:rsidRPr="00904485">
        <w:t xml:space="preserve">) </w:t>
      </w:r>
      <w:r w:rsidR="00367BAD" w:rsidRPr="00904485">
        <w:t xml:space="preserve">первый абзац пункта </w:t>
      </w:r>
      <w:r w:rsidR="00EF655C" w:rsidRPr="00904485">
        <w:t>34 Порядка составления и представления отчёта 2-ПБ «Сведения о внешнеэкономической деятельности хозяйствующего субъекта» Приложения N 2 к Инструкции</w:t>
      </w:r>
      <w:r w:rsidR="00367BAD" w:rsidRPr="00904485">
        <w:t xml:space="preserve"> изложить в следующей редакции:</w:t>
      </w:r>
    </w:p>
    <w:p w:rsidR="00367BAD" w:rsidRPr="00904485" w:rsidRDefault="00367BAD" w:rsidP="00EA2D97">
      <w:pPr>
        <w:autoSpaceDE w:val="0"/>
        <w:autoSpaceDN w:val="0"/>
        <w:adjustRightInd w:val="0"/>
        <w:ind w:firstLine="709"/>
        <w:jc w:val="both"/>
      </w:pPr>
      <w:r w:rsidRPr="00904485">
        <w:t>«34. Из строки 14 выделяются кредиты и займы на срок до 1 года включительно (строка 15) и кредиты и займы на срок свыше 1 года (строка 16).»;</w:t>
      </w:r>
    </w:p>
    <w:p w:rsidR="00B22550" w:rsidRPr="00904485" w:rsidRDefault="00367BAD" w:rsidP="00EA2D97">
      <w:pPr>
        <w:autoSpaceDE w:val="0"/>
        <w:autoSpaceDN w:val="0"/>
        <w:adjustRightInd w:val="0"/>
        <w:ind w:firstLine="709"/>
        <w:jc w:val="both"/>
      </w:pPr>
      <w:r w:rsidRPr="00904485">
        <w:t>я</w:t>
      </w:r>
      <w:r w:rsidR="006C1893" w:rsidRPr="00904485">
        <w:t>-1</w:t>
      </w:r>
      <w:r w:rsidRPr="00904485">
        <w:t xml:space="preserve">) </w:t>
      </w:r>
      <w:r w:rsidR="00B22550" w:rsidRPr="00904485">
        <w:t xml:space="preserve">в </w:t>
      </w:r>
      <w:r w:rsidR="00EF655C" w:rsidRPr="00904485">
        <w:t>строке 15 таблицы пункта 34 Порядка составления и представления отчёта 2-ПБ «Сведения о внешнеэкономической деятельности хозяйствующего субъекта» Приложения N 2 к Инструкции</w:t>
      </w:r>
      <w:r w:rsidR="00B22550" w:rsidRPr="00904485">
        <w:t xml:space="preserve"> слова «на срок до 180 дней» заменить словами «на срок до 1 года включительно»;</w:t>
      </w:r>
    </w:p>
    <w:p w:rsidR="00B22550" w:rsidRPr="00904485" w:rsidRDefault="00B22550" w:rsidP="00EA2D97">
      <w:pPr>
        <w:autoSpaceDE w:val="0"/>
        <w:autoSpaceDN w:val="0"/>
        <w:adjustRightInd w:val="0"/>
        <w:ind w:firstLine="709"/>
        <w:jc w:val="both"/>
      </w:pPr>
      <w:r w:rsidRPr="00904485">
        <w:t>я-</w:t>
      </w:r>
      <w:r w:rsidR="0034044B" w:rsidRPr="00904485">
        <w:t>2</w:t>
      </w:r>
      <w:r w:rsidRPr="00904485">
        <w:t xml:space="preserve">) в </w:t>
      </w:r>
      <w:r w:rsidR="00EF655C" w:rsidRPr="00904485">
        <w:t>строке 22 таблицы пункта 39 Порядка составления и представления отчёта 2-ПБ «Сведения о внешнеэкономической деятельности хозяйствующего субъекта» Приложения N 2 к Инструкции</w:t>
      </w:r>
      <w:r w:rsidRPr="00904485">
        <w:t xml:space="preserve"> слова «на срок до 180 дней» заменить словами «на срок до 1 года включительно»;</w:t>
      </w:r>
    </w:p>
    <w:p w:rsidR="0015471B" w:rsidRPr="00904485" w:rsidRDefault="00B22550" w:rsidP="00EA2D97">
      <w:pPr>
        <w:autoSpaceDE w:val="0"/>
        <w:autoSpaceDN w:val="0"/>
        <w:adjustRightInd w:val="0"/>
        <w:ind w:firstLine="709"/>
        <w:jc w:val="both"/>
      </w:pPr>
      <w:r w:rsidRPr="00904485">
        <w:t>я-</w:t>
      </w:r>
      <w:r w:rsidR="0034044B" w:rsidRPr="00904485">
        <w:t>3</w:t>
      </w:r>
      <w:r w:rsidR="0015471B" w:rsidRPr="00904485">
        <w:t xml:space="preserve">) пункт </w:t>
      </w:r>
      <w:r w:rsidR="00EF655C" w:rsidRPr="00904485">
        <w:t xml:space="preserve">40 Порядка составления и представления отчёта 2-ПБ «Сведения о внешнеэкономической деятельности хозяйствующего субъекта» Приложения N 2 к Инструкции </w:t>
      </w:r>
      <w:r w:rsidR="0015471B" w:rsidRPr="00904485">
        <w:t>изложить в следующей редакции:</w:t>
      </w:r>
    </w:p>
    <w:p w:rsidR="00FB5B64" w:rsidRPr="00904485" w:rsidRDefault="0015471B" w:rsidP="00EA2D97">
      <w:pPr>
        <w:autoSpaceDE w:val="0"/>
        <w:autoSpaceDN w:val="0"/>
        <w:adjustRightInd w:val="0"/>
        <w:ind w:firstLine="709"/>
        <w:jc w:val="both"/>
      </w:pPr>
      <w:r w:rsidRPr="00904485">
        <w:t>«40. Из строки 21 выделяются кредиты и займы на срок до 1 года включительно (строка 22) и кредиты и займы на срок свыше 1 года (строка 23).</w:t>
      </w:r>
      <w:r w:rsidR="0034044B" w:rsidRPr="00904485">
        <w:t>»;</w:t>
      </w:r>
    </w:p>
    <w:p w:rsidR="00420013" w:rsidRDefault="00420013" w:rsidP="00EA2D97">
      <w:pPr>
        <w:autoSpaceDE w:val="0"/>
        <w:autoSpaceDN w:val="0"/>
        <w:adjustRightInd w:val="0"/>
        <w:ind w:firstLine="709"/>
        <w:jc w:val="both"/>
        <w:rPr>
          <w:color w:val="FF0000"/>
        </w:rPr>
      </w:pPr>
      <w:r>
        <w:t>я-4</w:t>
      </w:r>
      <w:r w:rsidR="008C0F63" w:rsidRPr="008E3A84">
        <w:t xml:space="preserve">) подпункт а) пункта 3 Приложения </w:t>
      </w:r>
      <w:r w:rsidR="008C0F63" w:rsidRPr="008E3A84">
        <w:rPr>
          <w:lang w:val="en-US"/>
        </w:rPr>
        <w:t>N</w:t>
      </w:r>
      <w:r w:rsidR="008C0F63" w:rsidRPr="008E3A84">
        <w:t xml:space="preserve"> 2б </w:t>
      </w:r>
      <w:r w:rsidR="00CC1F28" w:rsidRPr="00260030">
        <w:t>к Инструкции</w:t>
      </w:r>
      <w:r w:rsidR="008C0F63" w:rsidRPr="008E3A84">
        <w:t xml:space="preserve"> изложить в следующей редакции:</w:t>
      </w:r>
    </w:p>
    <w:p w:rsidR="00420013" w:rsidRDefault="008C0F63" w:rsidP="00EA2D97">
      <w:pPr>
        <w:autoSpaceDE w:val="0"/>
        <w:autoSpaceDN w:val="0"/>
        <w:adjustRightInd w:val="0"/>
        <w:ind w:firstLine="709"/>
        <w:jc w:val="both"/>
        <w:rPr>
          <w:color w:val="FF0000"/>
        </w:rPr>
      </w:pPr>
      <w:r w:rsidRPr="008E3A84">
        <w:t>«а) клиенты, имеющие временные, текущие и иные валютные счета;»;</w:t>
      </w:r>
    </w:p>
    <w:p w:rsidR="00420013" w:rsidRDefault="00420013" w:rsidP="00EA2D97">
      <w:pPr>
        <w:autoSpaceDE w:val="0"/>
        <w:autoSpaceDN w:val="0"/>
        <w:adjustRightInd w:val="0"/>
        <w:ind w:firstLine="709"/>
        <w:jc w:val="both"/>
        <w:rPr>
          <w:color w:val="FF0000"/>
        </w:rPr>
      </w:pPr>
      <w:r>
        <w:t>я-5</w:t>
      </w:r>
      <w:r w:rsidR="008C0F63" w:rsidRPr="008E3A84">
        <w:t xml:space="preserve">) </w:t>
      </w:r>
      <w:r w:rsidR="00AD76E5" w:rsidRPr="008E3A84">
        <w:t>Приложение</w:t>
      </w:r>
      <w:r w:rsidR="008C0F63" w:rsidRPr="008E3A84">
        <w:t xml:space="preserve"> N 2в к настоящей Инструкции исключить;</w:t>
      </w:r>
    </w:p>
    <w:p w:rsidR="008F0A77" w:rsidRDefault="00420013" w:rsidP="00EA2D97">
      <w:pPr>
        <w:autoSpaceDE w:val="0"/>
        <w:autoSpaceDN w:val="0"/>
        <w:adjustRightInd w:val="0"/>
        <w:ind w:firstLine="709"/>
        <w:jc w:val="both"/>
        <w:rPr>
          <w:color w:val="FF0000"/>
        </w:rPr>
      </w:pPr>
      <w:r>
        <w:t>я-6</w:t>
      </w:r>
      <w:r w:rsidR="008C0F63" w:rsidRPr="008E3A84">
        <w:t xml:space="preserve">) </w:t>
      </w:r>
      <w:r w:rsidR="00AD76E5" w:rsidRPr="008E3A84">
        <w:t xml:space="preserve">подпункт г) пункта 5 Приложения </w:t>
      </w:r>
      <w:r w:rsidR="00AD76E5" w:rsidRPr="008E3A84">
        <w:rPr>
          <w:lang w:val="en-US"/>
        </w:rPr>
        <w:t>N</w:t>
      </w:r>
      <w:r w:rsidR="00AD76E5" w:rsidRPr="008E3A84">
        <w:t xml:space="preserve"> 4а к Инструкции дополнить четвертым абзацем следующего содержания:</w:t>
      </w:r>
    </w:p>
    <w:p w:rsidR="008F0A77" w:rsidRDefault="00AD76E5" w:rsidP="00EA2D97">
      <w:pPr>
        <w:autoSpaceDE w:val="0"/>
        <w:autoSpaceDN w:val="0"/>
        <w:adjustRightInd w:val="0"/>
        <w:ind w:firstLine="709"/>
        <w:jc w:val="both"/>
        <w:rPr>
          <w:color w:val="FF0000"/>
        </w:rPr>
      </w:pPr>
      <w:r w:rsidRPr="008E3A84">
        <w:t>«В случае перевода задолженности клиента в просроченную или в иную категорию качества в поле «Код страны</w:t>
      </w:r>
      <w:r w:rsidR="00100A49" w:rsidRPr="008E3A84">
        <w:t xml:space="preserve"> заемщика (финансового ответчика по сделке)</w:t>
      </w:r>
      <w:r w:rsidRPr="008E3A84">
        <w:t xml:space="preserve"> необходимо проставлять «0» (ноль);»;</w:t>
      </w:r>
    </w:p>
    <w:p w:rsidR="008F0A77" w:rsidRDefault="008F0A77" w:rsidP="00EA2D97">
      <w:pPr>
        <w:autoSpaceDE w:val="0"/>
        <w:autoSpaceDN w:val="0"/>
        <w:adjustRightInd w:val="0"/>
        <w:ind w:firstLine="709"/>
        <w:jc w:val="both"/>
        <w:rPr>
          <w:color w:val="FF0000"/>
        </w:rPr>
      </w:pPr>
      <w:r>
        <w:t>я-7</w:t>
      </w:r>
      <w:r w:rsidR="005926A5" w:rsidRPr="008E3A84">
        <w:t xml:space="preserve">) дополнить Инструкцию </w:t>
      </w:r>
      <w:r w:rsidR="009977A6" w:rsidRPr="008E3A84">
        <w:t xml:space="preserve">Приложением </w:t>
      </w:r>
      <w:r w:rsidR="00E81189" w:rsidRPr="008E3A84">
        <w:rPr>
          <w:lang w:val="en-US"/>
        </w:rPr>
        <w:t>N</w:t>
      </w:r>
      <w:r w:rsidR="00771FB8" w:rsidRPr="008E3A84">
        <w:t xml:space="preserve"> 8</w:t>
      </w:r>
      <w:r w:rsidR="004151C7" w:rsidRPr="008E3A84">
        <w:t>«Структура форматного электронного документа Отчета 2-ПБ «Сведения о внешнеэкономической деятельности хозяйствующего субъекта»</w:t>
      </w:r>
      <w:r w:rsidR="001C0D8C" w:rsidRPr="008E3A84">
        <w:t xml:space="preserve"> в редакции </w:t>
      </w:r>
      <w:r w:rsidR="001C0D8C" w:rsidRPr="008B0315">
        <w:t>согласно</w:t>
      </w:r>
      <w:r w:rsidR="001C0D8C" w:rsidRPr="008E3A84">
        <w:t xml:space="preserve"> Приложению</w:t>
      </w:r>
      <w:r w:rsidR="00756C01" w:rsidRPr="008E3A84">
        <w:t xml:space="preserve"> N 1</w:t>
      </w:r>
      <w:r w:rsidR="001C0D8C" w:rsidRPr="008E3A84">
        <w:t xml:space="preserve"> к настоящему Указанию;</w:t>
      </w:r>
    </w:p>
    <w:p w:rsidR="008F0A77" w:rsidRDefault="008F0A77" w:rsidP="00EA2D97">
      <w:pPr>
        <w:autoSpaceDE w:val="0"/>
        <w:autoSpaceDN w:val="0"/>
        <w:adjustRightInd w:val="0"/>
        <w:ind w:firstLine="709"/>
        <w:jc w:val="both"/>
        <w:rPr>
          <w:color w:val="FF0000"/>
        </w:rPr>
      </w:pPr>
      <w:r>
        <w:t>я-8</w:t>
      </w:r>
      <w:r w:rsidR="001C67A6" w:rsidRPr="008E3A84">
        <w:t>)</w:t>
      </w:r>
      <w:r w:rsidR="001B2DD9">
        <w:t xml:space="preserve"> </w:t>
      </w:r>
      <w:r w:rsidR="00B74B62" w:rsidRPr="008E3A84">
        <w:t xml:space="preserve">Приложение N 3 к Инструкции изложить в редакции </w:t>
      </w:r>
      <w:r w:rsidR="008B0315" w:rsidRPr="00260030">
        <w:t xml:space="preserve">согласно Приложению </w:t>
      </w:r>
      <w:r w:rsidR="00B74B62" w:rsidRPr="008B0315">
        <w:t>N 2</w:t>
      </w:r>
      <w:r w:rsidR="00B74B62" w:rsidRPr="008E3A84">
        <w:t xml:space="preserve"> к настоящему Указанию.</w:t>
      </w:r>
    </w:p>
    <w:p w:rsidR="000A7C7C" w:rsidRPr="008F0A77" w:rsidRDefault="005F1477" w:rsidP="00EA2D97">
      <w:pPr>
        <w:autoSpaceDE w:val="0"/>
        <w:autoSpaceDN w:val="0"/>
        <w:adjustRightInd w:val="0"/>
        <w:ind w:firstLine="709"/>
        <w:jc w:val="both"/>
        <w:rPr>
          <w:color w:val="FF0000"/>
        </w:rPr>
      </w:pPr>
      <w:r w:rsidRPr="008E3A84">
        <w:t xml:space="preserve">2. </w:t>
      </w:r>
      <w:r w:rsidR="00084521" w:rsidRPr="008E3A84">
        <w:t xml:space="preserve">Настоящее Указание вступает в силу </w:t>
      </w:r>
      <w:r w:rsidR="000A30E8" w:rsidRPr="008E3A84">
        <w:t xml:space="preserve">с 1 января 2020 года </w:t>
      </w:r>
      <w:r w:rsidR="008B0315" w:rsidRPr="00260030">
        <w:rPr>
          <w:color w:val="000000" w:themeColor="text1"/>
        </w:rPr>
        <w:t>и подлежит применению при составлении и представлении отчетов за отчетные периоды, начинающиеся с</w:t>
      </w:r>
      <w:r w:rsidR="000A30E8" w:rsidRPr="008E3A84">
        <w:t>1 января 2020 года.</w:t>
      </w:r>
    </w:p>
    <w:p w:rsidR="00084521" w:rsidRPr="008E3A84" w:rsidRDefault="00084521" w:rsidP="00B81CF0">
      <w:pPr>
        <w:autoSpaceDE w:val="0"/>
        <w:autoSpaceDN w:val="0"/>
        <w:adjustRightInd w:val="0"/>
        <w:ind w:firstLine="709"/>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0A7C7C" w:rsidRPr="008E3A84" w:rsidTr="000A7C7C">
        <w:tc>
          <w:tcPr>
            <w:tcW w:w="3379" w:type="dxa"/>
          </w:tcPr>
          <w:p w:rsidR="00084521" w:rsidRPr="008E3A84" w:rsidRDefault="00084521" w:rsidP="000A7C7C">
            <w:pPr>
              <w:autoSpaceDE w:val="0"/>
              <w:autoSpaceDN w:val="0"/>
              <w:adjustRightInd w:val="0"/>
              <w:jc w:val="both"/>
            </w:pPr>
          </w:p>
          <w:p w:rsidR="000A7C7C" w:rsidRPr="008E3A84" w:rsidRDefault="003E110A" w:rsidP="000A7C7C">
            <w:pPr>
              <w:autoSpaceDE w:val="0"/>
              <w:autoSpaceDN w:val="0"/>
              <w:adjustRightInd w:val="0"/>
              <w:jc w:val="both"/>
            </w:pPr>
            <w:r w:rsidRPr="008E3A84">
              <w:t>Председатель</w:t>
            </w:r>
            <w:r w:rsidR="00DE5E3F" w:rsidRPr="008E3A84">
              <w:t xml:space="preserve"> банка</w:t>
            </w:r>
          </w:p>
        </w:tc>
        <w:tc>
          <w:tcPr>
            <w:tcW w:w="3379" w:type="dxa"/>
          </w:tcPr>
          <w:p w:rsidR="000A7C7C" w:rsidRPr="008E3A84" w:rsidRDefault="000A7C7C" w:rsidP="000A7C7C">
            <w:pPr>
              <w:autoSpaceDE w:val="0"/>
              <w:autoSpaceDN w:val="0"/>
              <w:adjustRightInd w:val="0"/>
              <w:jc w:val="both"/>
            </w:pPr>
          </w:p>
        </w:tc>
        <w:tc>
          <w:tcPr>
            <w:tcW w:w="3379" w:type="dxa"/>
          </w:tcPr>
          <w:p w:rsidR="00084521" w:rsidRPr="008E3A84" w:rsidRDefault="00084521" w:rsidP="000A7C7C">
            <w:pPr>
              <w:autoSpaceDE w:val="0"/>
              <w:autoSpaceDN w:val="0"/>
              <w:adjustRightInd w:val="0"/>
              <w:jc w:val="right"/>
            </w:pPr>
          </w:p>
          <w:p w:rsidR="000A7C7C" w:rsidRPr="008E3A84" w:rsidRDefault="00D8786F" w:rsidP="000A7C7C">
            <w:pPr>
              <w:autoSpaceDE w:val="0"/>
              <w:autoSpaceDN w:val="0"/>
              <w:adjustRightInd w:val="0"/>
              <w:jc w:val="right"/>
            </w:pPr>
            <w:r w:rsidRPr="008E3A84">
              <w:t>В.С. Тидва</w:t>
            </w:r>
          </w:p>
        </w:tc>
      </w:tr>
    </w:tbl>
    <w:p w:rsidR="00E06A7A" w:rsidRPr="008E3A84" w:rsidRDefault="00E06A7A" w:rsidP="000A7C7C">
      <w:pPr>
        <w:autoSpaceDE w:val="0"/>
        <w:autoSpaceDN w:val="0"/>
        <w:adjustRightInd w:val="0"/>
        <w:jc w:val="both"/>
      </w:pPr>
    </w:p>
    <w:p w:rsidR="000A7C7C" w:rsidRPr="008E3A84" w:rsidRDefault="000A7C7C" w:rsidP="000A7C7C">
      <w:pPr>
        <w:autoSpaceDE w:val="0"/>
        <w:autoSpaceDN w:val="0"/>
        <w:adjustRightInd w:val="0"/>
        <w:jc w:val="both"/>
      </w:pPr>
      <w:r w:rsidRPr="008E3A84">
        <w:t>г. Тирасполь</w:t>
      </w:r>
    </w:p>
    <w:p w:rsidR="00A364C4" w:rsidRPr="008E3A84" w:rsidRDefault="008C70C1" w:rsidP="00A364C4">
      <w:pPr>
        <w:pStyle w:val="af3"/>
        <w:spacing w:line="240" w:lineRule="atLeast"/>
        <w:rPr>
          <w:rFonts w:ascii="Times New Roman" w:hAnsi="Times New Roman"/>
          <w:sz w:val="24"/>
          <w:szCs w:val="24"/>
        </w:rPr>
      </w:pPr>
      <w:r w:rsidRPr="008E3A84">
        <w:rPr>
          <w:rFonts w:ascii="Times New Roman" w:hAnsi="Times New Roman"/>
          <w:sz w:val="24"/>
          <w:szCs w:val="24"/>
        </w:rPr>
        <w:t>_______________</w:t>
      </w:r>
      <w:r w:rsidR="00771DDB" w:rsidRPr="008E3A84">
        <w:rPr>
          <w:rFonts w:ascii="Times New Roman" w:hAnsi="Times New Roman"/>
          <w:sz w:val="24"/>
          <w:szCs w:val="24"/>
        </w:rPr>
        <w:t xml:space="preserve"> 2019</w:t>
      </w:r>
      <w:r w:rsidR="00A364C4" w:rsidRPr="008E3A84">
        <w:rPr>
          <w:rFonts w:ascii="Times New Roman" w:hAnsi="Times New Roman"/>
          <w:sz w:val="24"/>
          <w:szCs w:val="24"/>
        </w:rPr>
        <w:t xml:space="preserve"> года</w:t>
      </w:r>
    </w:p>
    <w:p w:rsidR="00C86B77" w:rsidRPr="008E3A84" w:rsidRDefault="00771DDB" w:rsidP="00260030">
      <w:pPr>
        <w:pStyle w:val="af3"/>
        <w:spacing w:line="240" w:lineRule="atLeast"/>
        <w:rPr>
          <w:sz w:val="20"/>
        </w:rPr>
      </w:pPr>
      <w:r w:rsidRPr="008E3A84">
        <w:rPr>
          <w:rFonts w:ascii="Times New Roman" w:hAnsi="Times New Roman"/>
          <w:sz w:val="24"/>
          <w:szCs w:val="24"/>
        </w:rPr>
        <w:t>N _____</w:t>
      </w:r>
      <w:r w:rsidR="00A364C4" w:rsidRPr="008E3A84">
        <w:rPr>
          <w:rFonts w:ascii="Times New Roman" w:hAnsi="Times New Roman"/>
          <w:sz w:val="24"/>
          <w:szCs w:val="24"/>
        </w:rPr>
        <w:t>-У</w:t>
      </w:r>
      <w:bookmarkStart w:id="0" w:name="_GoBack"/>
      <w:bookmarkEnd w:id="0"/>
      <w:r w:rsidR="00C86B77" w:rsidRPr="008E3A84">
        <w:rPr>
          <w:sz w:val="20"/>
        </w:rPr>
        <w:br w:type="page"/>
      </w:r>
    </w:p>
    <w:p w:rsidR="00A058F5" w:rsidRPr="008E3A84" w:rsidRDefault="00103C7B" w:rsidP="00C86B77">
      <w:pPr>
        <w:spacing w:line="276" w:lineRule="auto"/>
        <w:ind w:firstLine="5103"/>
        <w:rPr>
          <w:sz w:val="20"/>
          <w:szCs w:val="20"/>
        </w:rPr>
      </w:pPr>
      <w:r w:rsidRPr="008E3A84">
        <w:rPr>
          <w:sz w:val="20"/>
          <w:szCs w:val="20"/>
        </w:rPr>
        <w:lastRenderedPageBreak/>
        <w:t>Приложение</w:t>
      </w:r>
      <w:r w:rsidR="00756C01" w:rsidRPr="008E3A84">
        <w:rPr>
          <w:sz w:val="20"/>
          <w:szCs w:val="20"/>
          <w:lang w:val="en-US"/>
        </w:rPr>
        <w:t>N</w:t>
      </w:r>
      <w:r w:rsidR="00756C01" w:rsidRPr="008E3A84">
        <w:rPr>
          <w:sz w:val="20"/>
          <w:szCs w:val="20"/>
        </w:rPr>
        <w:t xml:space="preserve"> 1</w:t>
      </w:r>
    </w:p>
    <w:p w:rsidR="00103C7B" w:rsidRPr="008E3A84" w:rsidRDefault="00103C7B" w:rsidP="00403755">
      <w:pPr>
        <w:ind w:left="5103"/>
        <w:rPr>
          <w:sz w:val="20"/>
          <w:szCs w:val="20"/>
        </w:rPr>
      </w:pPr>
      <w:r w:rsidRPr="008E3A84">
        <w:rPr>
          <w:sz w:val="20"/>
          <w:szCs w:val="20"/>
        </w:rPr>
        <w:t xml:space="preserve">к Указанию Приднестровского республиканского банка от </w:t>
      </w:r>
      <w:r w:rsidR="00403755" w:rsidRPr="008E3A84">
        <w:rPr>
          <w:sz w:val="20"/>
          <w:szCs w:val="20"/>
        </w:rPr>
        <w:t>__ ________ 2019</w:t>
      </w:r>
      <w:r w:rsidRPr="008E3A84">
        <w:rPr>
          <w:sz w:val="20"/>
          <w:szCs w:val="20"/>
        </w:rPr>
        <w:t xml:space="preserve"> года </w:t>
      </w:r>
      <w:r w:rsidRPr="008E3A84">
        <w:rPr>
          <w:sz w:val="20"/>
          <w:szCs w:val="20"/>
          <w:lang w:val="en-US"/>
        </w:rPr>
        <w:t>N</w:t>
      </w:r>
      <w:r w:rsidRPr="008E3A84">
        <w:rPr>
          <w:sz w:val="20"/>
          <w:szCs w:val="20"/>
        </w:rPr>
        <w:t xml:space="preserve"> _____-У</w:t>
      </w:r>
    </w:p>
    <w:p w:rsidR="00103C7B" w:rsidRPr="008E3A84" w:rsidRDefault="00103C7B" w:rsidP="00403755">
      <w:pPr>
        <w:keepNext/>
        <w:keepLines/>
        <w:tabs>
          <w:tab w:val="left" w:pos="5220"/>
        </w:tabs>
        <w:ind w:left="5103"/>
        <w:rPr>
          <w:sz w:val="20"/>
          <w:szCs w:val="20"/>
        </w:rPr>
      </w:pPr>
      <w:r w:rsidRPr="008E3A84">
        <w:rPr>
          <w:sz w:val="20"/>
          <w:szCs w:val="20"/>
        </w:rPr>
        <w:t>«О в</w:t>
      </w:r>
      <w:r w:rsidR="00D0172D" w:rsidRPr="008E3A84">
        <w:rPr>
          <w:sz w:val="20"/>
          <w:szCs w:val="20"/>
        </w:rPr>
        <w:t xml:space="preserve">несении изменений и дополнений </w:t>
      </w:r>
      <w:r w:rsidRPr="008E3A84">
        <w:rPr>
          <w:sz w:val="20"/>
          <w:szCs w:val="20"/>
        </w:rPr>
        <w:t>в Инструкцию Приднестровского республиканско</w:t>
      </w:r>
      <w:r w:rsidR="00403755" w:rsidRPr="008E3A84">
        <w:rPr>
          <w:sz w:val="20"/>
          <w:szCs w:val="20"/>
        </w:rPr>
        <w:t xml:space="preserve">го банка </w:t>
      </w:r>
      <w:r w:rsidR="00D0172D" w:rsidRPr="008E3A84">
        <w:rPr>
          <w:sz w:val="20"/>
          <w:szCs w:val="20"/>
        </w:rPr>
        <w:br/>
      </w:r>
      <w:r w:rsidR="00403755" w:rsidRPr="008E3A84">
        <w:rPr>
          <w:sz w:val="20"/>
          <w:szCs w:val="20"/>
        </w:rPr>
        <w:t xml:space="preserve">от 26 марта 2008 года </w:t>
      </w:r>
      <w:r w:rsidR="00D0172D" w:rsidRPr="008E3A84">
        <w:rPr>
          <w:sz w:val="20"/>
          <w:szCs w:val="20"/>
        </w:rPr>
        <w:t xml:space="preserve">N 24-И «О порядке </w:t>
      </w:r>
      <w:r w:rsidRPr="008E3A84">
        <w:rPr>
          <w:sz w:val="20"/>
          <w:szCs w:val="20"/>
        </w:rPr>
        <w:t>представления отчетности для составления платежного баланса Приднестровской Молдавской Республики»</w:t>
      </w:r>
    </w:p>
    <w:p w:rsidR="00103C7B" w:rsidRPr="008E3A84" w:rsidRDefault="00103C7B" w:rsidP="00403755">
      <w:pPr>
        <w:widowControl w:val="0"/>
        <w:tabs>
          <w:tab w:val="left" w:pos="5220"/>
        </w:tabs>
        <w:ind w:left="5103"/>
        <w:rPr>
          <w:snapToGrid w:val="0"/>
          <w:sz w:val="16"/>
          <w:szCs w:val="16"/>
        </w:rPr>
      </w:pPr>
    </w:p>
    <w:p w:rsidR="00103C7B" w:rsidRPr="008E3A84" w:rsidRDefault="00403755" w:rsidP="00403755">
      <w:pPr>
        <w:tabs>
          <w:tab w:val="left" w:pos="5220"/>
        </w:tabs>
        <w:ind w:left="5103"/>
        <w:rPr>
          <w:sz w:val="20"/>
          <w:szCs w:val="20"/>
        </w:rPr>
      </w:pPr>
      <w:r w:rsidRPr="008E3A84">
        <w:rPr>
          <w:sz w:val="20"/>
          <w:szCs w:val="20"/>
        </w:rPr>
        <w:t>Приложение N 8</w:t>
      </w:r>
    </w:p>
    <w:p w:rsidR="00CE0F40" w:rsidRPr="008E3A84" w:rsidRDefault="00103C7B" w:rsidP="002F1824">
      <w:pPr>
        <w:tabs>
          <w:tab w:val="left" w:pos="5220"/>
        </w:tabs>
        <w:ind w:left="5103"/>
        <w:rPr>
          <w:sz w:val="20"/>
          <w:szCs w:val="20"/>
        </w:rPr>
      </w:pPr>
      <w:r w:rsidRPr="008E3A84">
        <w:rPr>
          <w:sz w:val="20"/>
          <w:szCs w:val="20"/>
        </w:rPr>
        <w:t>к Инструкции от 26 марта 2008 года N 24-И</w:t>
      </w:r>
      <w:r w:rsidRPr="008E3A84">
        <w:rPr>
          <w:sz w:val="20"/>
          <w:szCs w:val="20"/>
        </w:rPr>
        <w:br/>
        <w:t xml:space="preserve">«О порядке представления отчетности для составления платежного баланса Приднестровской Молдавской Республики» </w:t>
      </w:r>
    </w:p>
    <w:p w:rsidR="00B41A57" w:rsidRPr="008E3A84" w:rsidRDefault="00B41A57" w:rsidP="002F1824">
      <w:pPr>
        <w:spacing w:before="120"/>
        <w:jc w:val="center"/>
        <w:rPr>
          <w:b/>
          <w:sz w:val="22"/>
          <w:szCs w:val="22"/>
        </w:rPr>
      </w:pPr>
      <w:r w:rsidRPr="008E3A84">
        <w:rPr>
          <w:b/>
          <w:sz w:val="22"/>
          <w:szCs w:val="22"/>
        </w:rPr>
        <w:t xml:space="preserve">Структура форматного электронного документа </w:t>
      </w:r>
    </w:p>
    <w:p w:rsidR="00B41A57" w:rsidRPr="008E3A84" w:rsidRDefault="00B41A57" w:rsidP="00255A7C">
      <w:pPr>
        <w:pStyle w:val="5"/>
        <w:spacing w:before="0" w:after="0"/>
        <w:jc w:val="center"/>
        <w:rPr>
          <w:i w:val="0"/>
          <w:sz w:val="22"/>
          <w:szCs w:val="22"/>
        </w:rPr>
      </w:pPr>
      <w:r w:rsidRPr="008E3A84">
        <w:rPr>
          <w:i w:val="0"/>
          <w:sz w:val="22"/>
          <w:szCs w:val="22"/>
        </w:rPr>
        <w:t>Отчета 2-ПБ «Сведения о внешнеэкономической деятельности хозяйствующего субъекта»</w:t>
      </w:r>
    </w:p>
    <w:p w:rsidR="00B41A57" w:rsidRPr="008E3A84" w:rsidRDefault="00692BAB" w:rsidP="00D0172D">
      <w:pPr>
        <w:spacing w:line="240" w:lineRule="atLeast"/>
        <w:rPr>
          <w:i/>
          <w:sz w:val="12"/>
          <w:szCs w:val="12"/>
        </w:rPr>
      </w:pPr>
      <w:r w:rsidRPr="007576B4">
        <w:rPr>
          <w:sz w:val="22"/>
          <w:szCs w:val="22"/>
        </w:rPr>
        <w:t>Периодичность отч</w:t>
      </w:r>
      <w:r w:rsidR="00FA2B54" w:rsidRPr="007576B4">
        <w:rPr>
          <w:sz w:val="22"/>
          <w:szCs w:val="22"/>
        </w:rPr>
        <w:t>е</w:t>
      </w:r>
      <w:r w:rsidRPr="007576B4">
        <w:rPr>
          <w:sz w:val="22"/>
          <w:szCs w:val="22"/>
        </w:rPr>
        <w:t>тности</w:t>
      </w:r>
      <w:r w:rsidRPr="007576B4">
        <w:rPr>
          <w:sz w:val="22"/>
          <w:szCs w:val="22"/>
        </w:rPr>
        <w:tab/>
        <w:t>Ежеквартальная нарастающим итогом</w:t>
      </w:r>
    </w:p>
    <w:tbl>
      <w:tblPr>
        <w:tblpPr w:leftFromText="180" w:rightFromText="180" w:vertAnchor="text" w:horzAnchor="margin" w:tblpY="1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9446"/>
      </w:tblGrid>
      <w:tr w:rsidR="007327A2" w:rsidRPr="008E3A84" w:rsidTr="00FC7911">
        <w:tc>
          <w:tcPr>
            <w:tcW w:w="562" w:type="dxa"/>
            <w:shd w:val="clear" w:color="auto" w:fill="E6E6E6"/>
          </w:tcPr>
          <w:p w:rsidR="00B41A57" w:rsidRPr="008E3A84" w:rsidRDefault="00B41A57" w:rsidP="00D0172D">
            <w:pPr>
              <w:spacing w:line="240" w:lineRule="atLeast"/>
              <w:jc w:val="center"/>
            </w:pPr>
            <w:r w:rsidRPr="008E3A84">
              <w:rPr>
                <w:sz w:val="22"/>
                <w:szCs w:val="22"/>
                <w:lang w:val="en-US"/>
              </w:rPr>
              <w:t>N</w:t>
            </w:r>
            <w:r w:rsidRPr="008E3A84">
              <w:rPr>
                <w:sz w:val="22"/>
                <w:szCs w:val="22"/>
              </w:rPr>
              <w:t xml:space="preserve"> п.п.</w:t>
            </w:r>
          </w:p>
        </w:tc>
        <w:tc>
          <w:tcPr>
            <w:tcW w:w="9446" w:type="dxa"/>
            <w:shd w:val="clear" w:color="auto" w:fill="E6E6E6"/>
          </w:tcPr>
          <w:p w:rsidR="00B41A57" w:rsidRPr="008E3A84" w:rsidRDefault="00B41A57" w:rsidP="00FC7911">
            <w:pPr>
              <w:spacing w:line="240" w:lineRule="atLeast"/>
              <w:jc w:val="center"/>
            </w:pPr>
            <w:r w:rsidRPr="008E3A84">
              <w:rPr>
                <w:sz w:val="22"/>
                <w:szCs w:val="22"/>
              </w:rPr>
              <w:t>Наименование поля</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1</w:t>
            </w:r>
          </w:p>
        </w:tc>
        <w:tc>
          <w:tcPr>
            <w:tcW w:w="9446" w:type="dxa"/>
            <w:vAlign w:val="center"/>
          </w:tcPr>
          <w:p w:rsidR="00B41A57" w:rsidRPr="008E3A84" w:rsidRDefault="00B41A57" w:rsidP="004204DC">
            <w:r w:rsidRPr="008E3A84">
              <w:rPr>
                <w:sz w:val="22"/>
                <w:szCs w:val="22"/>
              </w:rPr>
              <w:t>Отч</w:t>
            </w:r>
            <w:r w:rsidR="00FA2B54" w:rsidRPr="008E3A84">
              <w:rPr>
                <w:sz w:val="22"/>
                <w:szCs w:val="22"/>
              </w:rPr>
              <w:t>е</w:t>
            </w:r>
            <w:r w:rsidRPr="008E3A84">
              <w:rPr>
                <w:sz w:val="22"/>
                <w:szCs w:val="22"/>
              </w:rPr>
              <w:t>тный год (в формате гггг)</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2</w:t>
            </w:r>
          </w:p>
        </w:tc>
        <w:tc>
          <w:tcPr>
            <w:tcW w:w="9446" w:type="dxa"/>
            <w:vAlign w:val="center"/>
          </w:tcPr>
          <w:p w:rsidR="00B41A57" w:rsidRPr="008E3A84" w:rsidRDefault="00B41A57" w:rsidP="004204DC">
            <w:r w:rsidRPr="008E3A84">
              <w:rPr>
                <w:sz w:val="22"/>
                <w:szCs w:val="22"/>
              </w:rPr>
              <w:t>Количество месяцев в отч</w:t>
            </w:r>
            <w:r w:rsidR="00FA2B54" w:rsidRPr="008E3A84">
              <w:rPr>
                <w:sz w:val="22"/>
                <w:szCs w:val="22"/>
              </w:rPr>
              <w:t>е</w:t>
            </w:r>
            <w:r w:rsidRPr="008E3A84">
              <w:rPr>
                <w:sz w:val="22"/>
                <w:szCs w:val="22"/>
              </w:rPr>
              <w:t>тном периоде (в формате мм)</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3</w:t>
            </w:r>
          </w:p>
        </w:tc>
        <w:tc>
          <w:tcPr>
            <w:tcW w:w="9446" w:type="dxa"/>
            <w:vAlign w:val="center"/>
          </w:tcPr>
          <w:p w:rsidR="00B41A57" w:rsidRPr="008E3A84" w:rsidRDefault="00B41A57" w:rsidP="004204DC">
            <w:r w:rsidRPr="008E3A84">
              <w:rPr>
                <w:sz w:val="22"/>
                <w:szCs w:val="22"/>
              </w:rPr>
              <w:t>КУБ филиала обслуживающего банка</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4</w:t>
            </w:r>
          </w:p>
        </w:tc>
        <w:tc>
          <w:tcPr>
            <w:tcW w:w="9446" w:type="dxa"/>
            <w:vAlign w:val="center"/>
          </w:tcPr>
          <w:p w:rsidR="00B41A57" w:rsidRPr="008E3A84" w:rsidRDefault="00B41A57" w:rsidP="00D23879">
            <w:pPr>
              <w:jc w:val="both"/>
            </w:pPr>
            <w:r w:rsidRPr="008E3A84">
              <w:rPr>
                <w:sz w:val="22"/>
                <w:szCs w:val="22"/>
              </w:rPr>
              <w:t xml:space="preserve">Идентификационный номер субъекта хозяйственной деятельности, присвоенный Приднестровским республиканским банком в соответствии с Инструкцией ПРБ </w:t>
            </w:r>
            <w:r w:rsidRPr="008E3A84">
              <w:rPr>
                <w:sz w:val="22"/>
                <w:szCs w:val="22"/>
              </w:rPr>
              <w:br/>
              <w:t>от 11</w:t>
            </w:r>
            <w:r w:rsidR="00D23879" w:rsidRPr="008E3A84">
              <w:rPr>
                <w:sz w:val="22"/>
                <w:szCs w:val="22"/>
              </w:rPr>
              <w:t xml:space="preserve"> июня </w:t>
            </w:r>
            <w:r w:rsidRPr="008E3A84">
              <w:rPr>
                <w:sz w:val="22"/>
                <w:szCs w:val="22"/>
              </w:rPr>
              <w:t xml:space="preserve">2018 </w:t>
            </w:r>
            <w:r w:rsidR="00A918C4" w:rsidRPr="008E3A84">
              <w:rPr>
                <w:sz w:val="22"/>
                <w:szCs w:val="22"/>
              </w:rPr>
              <w:t>года</w:t>
            </w:r>
            <w:r w:rsidRPr="008E3A84">
              <w:rPr>
                <w:sz w:val="22"/>
                <w:szCs w:val="22"/>
              </w:rPr>
              <w:t xml:space="preserve">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w:t>
            </w:r>
            <w:r w:rsidR="00A918C4" w:rsidRPr="008E3A84">
              <w:rPr>
                <w:sz w:val="22"/>
                <w:szCs w:val="22"/>
              </w:rPr>
              <w:t xml:space="preserve"> (Регистрационный </w:t>
            </w:r>
            <w:r w:rsidR="00A918C4" w:rsidRPr="008E3A84">
              <w:rPr>
                <w:sz w:val="22"/>
                <w:szCs w:val="22"/>
                <w:lang w:val="en-US"/>
              </w:rPr>
              <w:t>N</w:t>
            </w:r>
            <w:r w:rsidR="00A918C4" w:rsidRPr="008E3A84">
              <w:rPr>
                <w:sz w:val="22"/>
                <w:szCs w:val="22"/>
              </w:rPr>
              <w:t xml:space="preserve"> 8340 от 13 июля 2018 года) (САЗ 18-28)</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5</w:t>
            </w:r>
          </w:p>
        </w:tc>
        <w:tc>
          <w:tcPr>
            <w:tcW w:w="9446" w:type="dxa"/>
            <w:vAlign w:val="center"/>
          </w:tcPr>
          <w:p w:rsidR="00B41A57" w:rsidRPr="008E3A84" w:rsidRDefault="00B41A57" w:rsidP="004204DC">
            <w:r w:rsidRPr="008E3A84">
              <w:rPr>
                <w:sz w:val="22"/>
                <w:szCs w:val="22"/>
              </w:rPr>
              <w:t xml:space="preserve">Фискальный код организации </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6</w:t>
            </w:r>
          </w:p>
        </w:tc>
        <w:tc>
          <w:tcPr>
            <w:tcW w:w="9446" w:type="dxa"/>
            <w:vAlign w:val="center"/>
          </w:tcPr>
          <w:p w:rsidR="00B41A57" w:rsidRPr="008E3A84" w:rsidRDefault="00A918C4" w:rsidP="004204DC">
            <w:r w:rsidRPr="008E3A84">
              <w:rPr>
                <w:sz w:val="22"/>
                <w:szCs w:val="22"/>
              </w:rPr>
              <w:t>Регистрационный номер</w:t>
            </w:r>
            <w:r w:rsidR="00B41A57" w:rsidRPr="008E3A84">
              <w:rPr>
                <w:sz w:val="22"/>
                <w:szCs w:val="22"/>
              </w:rPr>
              <w:t xml:space="preserve"> индивидуального предпринимателя</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7</w:t>
            </w:r>
          </w:p>
        </w:tc>
        <w:tc>
          <w:tcPr>
            <w:tcW w:w="9446" w:type="dxa"/>
            <w:vAlign w:val="center"/>
          </w:tcPr>
          <w:p w:rsidR="00B41A57" w:rsidRPr="008E3A84" w:rsidRDefault="00B41A57" w:rsidP="004204DC">
            <w:r w:rsidRPr="008E3A84">
              <w:rPr>
                <w:sz w:val="22"/>
                <w:szCs w:val="22"/>
              </w:rPr>
              <w:t>Наименование организации (краткое)</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8</w:t>
            </w:r>
          </w:p>
        </w:tc>
        <w:tc>
          <w:tcPr>
            <w:tcW w:w="9446" w:type="dxa"/>
            <w:vAlign w:val="center"/>
          </w:tcPr>
          <w:p w:rsidR="00B41A57" w:rsidRPr="008E3A84" w:rsidRDefault="00B41A57" w:rsidP="004204DC">
            <w:r w:rsidRPr="008E3A84">
              <w:rPr>
                <w:sz w:val="22"/>
                <w:szCs w:val="22"/>
              </w:rPr>
              <w:t>Код раздела (заполняется в соответствии с таблицей 1)</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9</w:t>
            </w:r>
          </w:p>
        </w:tc>
        <w:tc>
          <w:tcPr>
            <w:tcW w:w="9446" w:type="dxa"/>
            <w:vAlign w:val="center"/>
          </w:tcPr>
          <w:p w:rsidR="00B41A57" w:rsidRPr="008E3A84" w:rsidRDefault="00B41A57" w:rsidP="004204DC">
            <w:r w:rsidRPr="008E3A84">
              <w:rPr>
                <w:sz w:val="22"/>
                <w:szCs w:val="22"/>
              </w:rPr>
              <w:t>Код показателя (заполняется в соответствии с таблицей 2)</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10</w:t>
            </w:r>
          </w:p>
        </w:tc>
        <w:tc>
          <w:tcPr>
            <w:tcW w:w="9446" w:type="dxa"/>
            <w:vAlign w:val="center"/>
          </w:tcPr>
          <w:p w:rsidR="00B41A57" w:rsidRPr="008E3A84" w:rsidRDefault="00B41A57" w:rsidP="004204DC">
            <w:r w:rsidRPr="008E3A84">
              <w:rPr>
                <w:sz w:val="22"/>
                <w:szCs w:val="22"/>
              </w:rPr>
              <w:t>Код инвестирования (заполняется в соответствии с таблицей 3)</w:t>
            </w:r>
          </w:p>
        </w:tc>
      </w:tr>
      <w:tr w:rsidR="007327A2" w:rsidRPr="008E3A84" w:rsidTr="00FC7911">
        <w:trPr>
          <w:trHeight w:val="170"/>
        </w:trPr>
        <w:tc>
          <w:tcPr>
            <w:tcW w:w="562" w:type="dxa"/>
            <w:tcBorders>
              <w:bottom w:val="single" w:sz="4" w:space="0" w:color="auto"/>
            </w:tcBorders>
            <w:vAlign w:val="center"/>
          </w:tcPr>
          <w:p w:rsidR="00B41A57" w:rsidRPr="008E3A84" w:rsidRDefault="00B41A57" w:rsidP="004204DC">
            <w:pPr>
              <w:jc w:val="center"/>
            </w:pPr>
            <w:r w:rsidRPr="008E3A84">
              <w:rPr>
                <w:sz w:val="22"/>
                <w:szCs w:val="22"/>
              </w:rPr>
              <w:t>11</w:t>
            </w:r>
          </w:p>
        </w:tc>
        <w:tc>
          <w:tcPr>
            <w:tcW w:w="9446" w:type="dxa"/>
            <w:tcBorders>
              <w:bottom w:val="single" w:sz="4" w:space="0" w:color="auto"/>
            </w:tcBorders>
          </w:tcPr>
          <w:p w:rsidR="00B41A57" w:rsidRPr="008E3A84" w:rsidRDefault="00B41A57" w:rsidP="004204DC">
            <w:r w:rsidRPr="008E3A84">
              <w:rPr>
                <w:sz w:val="22"/>
                <w:szCs w:val="22"/>
              </w:rPr>
              <w:t>Код страны (заполняется в соответствии с кодами страны (территории) Классификатора стран мира (территорий))</w:t>
            </w:r>
          </w:p>
        </w:tc>
      </w:tr>
      <w:tr w:rsidR="007327A2" w:rsidRPr="008E3A84" w:rsidTr="00FC7911">
        <w:trPr>
          <w:trHeight w:val="170"/>
        </w:trPr>
        <w:tc>
          <w:tcPr>
            <w:tcW w:w="562" w:type="dxa"/>
            <w:tcBorders>
              <w:bottom w:val="single" w:sz="4" w:space="0" w:color="auto"/>
            </w:tcBorders>
            <w:vAlign w:val="center"/>
          </w:tcPr>
          <w:p w:rsidR="00B41A57" w:rsidRPr="008E3A84" w:rsidRDefault="00B41A57" w:rsidP="004204DC">
            <w:pPr>
              <w:jc w:val="center"/>
            </w:pPr>
            <w:r w:rsidRPr="008E3A84">
              <w:rPr>
                <w:sz w:val="22"/>
                <w:szCs w:val="22"/>
              </w:rPr>
              <w:t>12</w:t>
            </w:r>
          </w:p>
        </w:tc>
        <w:tc>
          <w:tcPr>
            <w:tcW w:w="9446" w:type="dxa"/>
            <w:tcBorders>
              <w:bottom w:val="single" w:sz="4" w:space="0" w:color="auto"/>
            </w:tcBorders>
            <w:vAlign w:val="center"/>
          </w:tcPr>
          <w:p w:rsidR="00B41A57" w:rsidRPr="008E3A84" w:rsidRDefault="00B41A57" w:rsidP="004204DC">
            <w:r w:rsidRPr="008E3A84">
              <w:rPr>
                <w:sz w:val="22"/>
                <w:szCs w:val="22"/>
              </w:rPr>
              <w:t>Код валюты (заполняется в соответствии с Классификатором валют)</w:t>
            </w:r>
          </w:p>
        </w:tc>
      </w:tr>
      <w:tr w:rsidR="007327A2" w:rsidRPr="008E3A84" w:rsidTr="00FC7911">
        <w:trPr>
          <w:trHeight w:val="170"/>
        </w:trPr>
        <w:tc>
          <w:tcPr>
            <w:tcW w:w="562" w:type="dxa"/>
            <w:tcBorders>
              <w:bottom w:val="single" w:sz="4" w:space="0" w:color="auto"/>
            </w:tcBorders>
            <w:vAlign w:val="center"/>
          </w:tcPr>
          <w:p w:rsidR="00B41A57" w:rsidRPr="008E3A84" w:rsidRDefault="00B41A57" w:rsidP="004204DC">
            <w:pPr>
              <w:jc w:val="center"/>
            </w:pPr>
            <w:r w:rsidRPr="008E3A84">
              <w:rPr>
                <w:sz w:val="22"/>
                <w:szCs w:val="22"/>
              </w:rPr>
              <w:t>13</w:t>
            </w:r>
          </w:p>
        </w:tc>
        <w:tc>
          <w:tcPr>
            <w:tcW w:w="9446" w:type="dxa"/>
            <w:tcBorders>
              <w:bottom w:val="single" w:sz="4" w:space="0" w:color="auto"/>
            </w:tcBorders>
            <w:vAlign w:val="center"/>
          </w:tcPr>
          <w:p w:rsidR="00B41A57" w:rsidRPr="008E3A84" w:rsidRDefault="00B41A57" w:rsidP="004204DC">
            <w:r w:rsidRPr="008E3A84">
              <w:rPr>
                <w:sz w:val="22"/>
                <w:szCs w:val="22"/>
              </w:rPr>
              <w:t>Накоплено на начало отч</w:t>
            </w:r>
            <w:r w:rsidR="00FA2B54" w:rsidRPr="008E3A84">
              <w:rPr>
                <w:sz w:val="22"/>
                <w:szCs w:val="22"/>
              </w:rPr>
              <w:t>е</w:t>
            </w:r>
            <w:r w:rsidRPr="008E3A84">
              <w:rPr>
                <w:sz w:val="22"/>
                <w:szCs w:val="22"/>
              </w:rPr>
              <w:t>тного года – в формате 0.00</w:t>
            </w:r>
          </w:p>
        </w:tc>
      </w:tr>
      <w:tr w:rsidR="007327A2" w:rsidRPr="008E3A84" w:rsidTr="00FC7911">
        <w:trPr>
          <w:trHeight w:val="170"/>
        </w:trPr>
        <w:tc>
          <w:tcPr>
            <w:tcW w:w="562" w:type="dxa"/>
            <w:tcBorders>
              <w:bottom w:val="single" w:sz="4" w:space="0" w:color="auto"/>
            </w:tcBorders>
            <w:vAlign w:val="center"/>
          </w:tcPr>
          <w:p w:rsidR="00B41A57" w:rsidRPr="008E3A84" w:rsidRDefault="00B41A57" w:rsidP="004204DC">
            <w:pPr>
              <w:jc w:val="center"/>
            </w:pPr>
            <w:r w:rsidRPr="008E3A84">
              <w:rPr>
                <w:sz w:val="22"/>
                <w:szCs w:val="22"/>
              </w:rPr>
              <w:t>14</w:t>
            </w:r>
          </w:p>
        </w:tc>
        <w:tc>
          <w:tcPr>
            <w:tcW w:w="9446" w:type="dxa"/>
            <w:tcBorders>
              <w:bottom w:val="single" w:sz="4" w:space="0" w:color="auto"/>
            </w:tcBorders>
            <w:vAlign w:val="center"/>
          </w:tcPr>
          <w:p w:rsidR="00B41A57" w:rsidRPr="008E3A84" w:rsidRDefault="00100A49" w:rsidP="004204DC">
            <w:r w:rsidRPr="008E3A84">
              <w:rPr>
                <w:sz w:val="22"/>
                <w:szCs w:val="22"/>
              </w:rPr>
              <w:t>Поступило (</w:t>
            </w:r>
            <w:r w:rsidR="00B41A57" w:rsidRPr="008E3A84">
              <w:rPr>
                <w:sz w:val="22"/>
                <w:szCs w:val="22"/>
              </w:rPr>
              <w:t>направлено</w:t>
            </w:r>
            <w:r w:rsidRPr="008E3A84">
              <w:rPr>
                <w:sz w:val="22"/>
                <w:szCs w:val="22"/>
              </w:rPr>
              <w:t>)</w:t>
            </w:r>
            <w:r w:rsidR="00B41A57" w:rsidRPr="008E3A84">
              <w:rPr>
                <w:sz w:val="22"/>
                <w:szCs w:val="22"/>
              </w:rPr>
              <w:t xml:space="preserve"> за отч</w:t>
            </w:r>
            <w:r w:rsidR="00FA2B54" w:rsidRPr="008E3A84">
              <w:rPr>
                <w:sz w:val="22"/>
                <w:szCs w:val="22"/>
              </w:rPr>
              <w:t>е</w:t>
            </w:r>
            <w:r w:rsidR="00B41A57" w:rsidRPr="008E3A84">
              <w:rPr>
                <w:sz w:val="22"/>
                <w:szCs w:val="22"/>
              </w:rPr>
              <w:t>тный период – в формате 0.00</w:t>
            </w:r>
          </w:p>
        </w:tc>
      </w:tr>
      <w:tr w:rsidR="007327A2" w:rsidRPr="008E3A84" w:rsidTr="00FC7911">
        <w:trPr>
          <w:trHeight w:val="170"/>
        </w:trPr>
        <w:tc>
          <w:tcPr>
            <w:tcW w:w="562" w:type="dxa"/>
            <w:tcBorders>
              <w:bottom w:val="single" w:sz="4" w:space="0" w:color="auto"/>
            </w:tcBorders>
            <w:vAlign w:val="center"/>
          </w:tcPr>
          <w:p w:rsidR="00B41A57" w:rsidRPr="008E3A84" w:rsidRDefault="00B41A57" w:rsidP="004204DC">
            <w:pPr>
              <w:jc w:val="center"/>
            </w:pPr>
            <w:r w:rsidRPr="008E3A84">
              <w:rPr>
                <w:sz w:val="22"/>
                <w:szCs w:val="22"/>
              </w:rPr>
              <w:t>15</w:t>
            </w:r>
          </w:p>
        </w:tc>
        <w:tc>
          <w:tcPr>
            <w:tcW w:w="9446" w:type="dxa"/>
            <w:tcBorders>
              <w:bottom w:val="single" w:sz="4" w:space="0" w:color="auto"/>
            </w:tcBorders>
            <w:vAlign w:val="center"/>
          </w:tcPr>
          <w:p w:rsidR="00B41A57" w:rsidRPr="008E3A84" w:rsidRDefault="00100A49" w:rsidP="004204DC">
            <w:r w:rsidRPr="008E3A84">
              <w:rPr>
                <w:sz w:val="22"/>
                <w:szCs w:val="22"/>
              </w:rPr>
              <w:t>Изъято (</w:t>
            </w:r>
            <w:r w:rsidR="00B41A57" w:rsidRPr="008E3A84">
              <w:rPr>
                <w:sz w:val="22"/>
                <w:szCs w:val="22"/>
              </w:rPr>
              <w:t>погашено</w:t>
            </w:r>
            <w:r w:rsidRPr="008E3A84">
              <w:rPr>
                <w:sz w:val="22"/>
                <w:szCs w:val="22"/>
              </w:rPr>
              <w:t>)</w:t>
            </w:r>
            <w:r w:rsidR="00B41A57" w:rsidRPr="008E3A84">
              <w:rPr>
                <w:sz w:val="22"/>
                <w:szCs w:val="22"/>
              </w:rPr>
              <w:t xml:space="preserve"> за отч</w:t>
            </w:r>
            <w:r w:rsidR="00FA2B54" w:rsidRPr="008E3A84">
              <w:rPr>
                <w:sz w:val="22"/>
                <w:szCs w:val="22"/>
              </w:rPr>
              <w:t>е</w:t>
            </w:r>
            <w:r w:rsidR="00B41A57" w:rsidRPr="008E3A84">
              <w:rPr>
                <w:sz w:val="22"/>
                <w:szCs w:val="22"/>
              </w:rPr>
              <w:t>тный период – в формате 0.00</w:t>
            </w:r>
          </w:p>
        </w:tc>
      </w:tr>
      <w:tr w:rsidR="007327A2" w:rsidRPr="008E3A84" w:rsidTr="00FC7911">
        <w:trPr>
          <w:trHeight w:val="170"/>
        </w:trPr>
        <w:tc>
          <w:tcPr>
            <w:tcW w:w="562" w:type="dxa"/>
            <w:tcBorders>
              <w:bottom w:val="single" w:sz="4" w:space="0" w:color="auto"/>
            </w:tcBorders>
            <w:vAlign w:val="center"/>
          </w:tcPr>
          <w:p w:rsidR="00B41A57" w:rsidRPr="008E3A84" w:rsidRDefault="00B41A57" w:rsidP="004204DC">
            <w:pPr>
              <w:jc w:val="center"/>
            </w:pPr>
            <w:r w:rsidRPr="008E3A84">
              <w:rPr>
                <w:sz w:val="22"/>
                <w:szCs w:val="22"/>
              </w:rPr>
              <w:t>16</w:t>
            </w:r>
          </w:p>
        </w:tc>
        <w:tc>
          <w:tcPr>
            <w:tcW w:w="9446" w:type="dxa"/>
            <w:tcBorders>
              <w:bottom w:val="single" w:sz="4" w:space="0" w:color="auto"/>
            </w:tcBorders>
            <w:vAlign w:val="center"/>
          </w:tcPr>
          <w:p w:rsidR="00B41A57" w:rsidRPr="008E3A84" w:rsidRDefault="00B41A57" w:rsidP="004204DC">
            <w:r w:rsidRPr="008E3A84">
              <w:rPr>
                <w:sz w:val="22"/>
                <w:szCs w:val="22"/>
              </w:rPr>
              <w:t>Переоценка, прочие изменения – в формате 0.00</w:t>
            </w:r>
          </w:p>
        </w:tc>
      </w:tr>
      <w:tr w:rsidR="007327A2" w:rsidRPr="008E3A84" w:rsidTr="00FC7911">
        <w:trPr>
          <w:trHeight w:val="170"/>
        </w:trPr>
        <w:tc>
          <w:tcPr>
            <w:tcW w:w="562" w:type="dxa"/>
            <w:vAlign w:val="center"/>
          </w:tcPr>
          <w:p w:rsidR="00B41A57" w:rsidRPr="008E3A84" w:rsidRDefault="00B41A57" w:rsidP="004204DC">
            <w:pPr>
              <w:jc w:val="center"/>
            </w:pPr>
            <w:r w:rsidRPr="008E3A84">
              <w:rPr>
                <w:sz w:val="22"/>
                <w:szCs w:val="22"/>
              </w:rPr>
              <w:t>17</w:t>
            </w:r>
          </w:p>
        </w:tc>
        <w:tc>
          <w:tcPr>
            <w:tcW w:w="9446" w:type="dxa"/>
            <w:vAlign w:val="center"/>
          </w:tcPr>
          <w:p w:rsidR="00B41A57" w:rsidRPr="008E3A84" w:rsidRDefault="00B41A57" w:rsidP="004204DC">
            <w:r w:rsidRPr="008E3A84">
              <w:rPr>
                <w:sz w:val="22"/>
                <w:szCs w:val="22"/>
              </w:rPr>
              <w:t>Накоплено на конец отч</w:t>
            </w:r>
            <w:r w:rsidR="00FA2B54" w:rsidRPr="008E3A84">
              <w:rPr>
                <w:sz w:val="22"/>
                <w:szCs w:val="22"/>
              </w:rPr>
              <w:t>е</w:t>
            </w:r>
            <w:r w:rsidRPr="008E3A84">
              <w:rPr>
                <w:sz w:val="22"/>
                <w:szCs w:val="22"/>
              </w:rPr>
              <w:t>тного периода – в формате 0.00</w:t>
            </w:r>
          </w:p>
        </w:tc>
      </w:tr>
      <w:tr w:rsidR="007327A2" w:rsidRPr="008E3A84" w:rsidTr="00FC7911">
        <w:trPr>
          <w:trHeight w:val="198"/>
        </w:trPr>
        <w:tc>
          <w:tcPr>
            <w:tcW w:w="562" w:type="dxa"/>
            <w:tcBorders>
              <w:bottom w:val="single" w:sz="4" w:space="0" w:color="auto"/>
            </w:tcBorders>
            <w:vAlign w:val="center"/>
          </w:tcPr>
          <w:p w:rsidR="002B5B21" w:rsidRPr="008E3A84" w:rsidRDefault="002B5B21" w:rsidP="004204DC">
            <w:pPr>
              <w:jc w:val="center"/>
            </w:pPr>
            <w:r w:rsidRPr="008E3A84">
              <w:rPr>
                <w:sz w:val="22"/>
                <w:szCs w:val="22"/>
              </w:rPr>
              <w:t>18</w:t>
            </w:r>
          </w:p>
        </w:tc>
        <w:tc>
          <w:tcPr>
            <w:tcW w:w="9446" w:type="dxa"/>
            <w:tcBorders>
              <w:bottom w:val="single" w:sz="4" w:space="0" w:color="auto"/>
            </w:tcBorders>
            <w:vAlign w:val="center"/>
          </w:tcPr>
          <w:p w:rsidR="002B5B21" w:rsidRPr="008E3A84" w:rsidRDefault="002B5B21" w:rsidP="004204DC">
            <w:r w:rsidRPr="008E3A84">
              <w:rPr>
                <w:sz w:val="22"/>
                <w:szCs w:val="22"/>
              </w:rPr>
              <w:t>Номер и дата сопроводительного письма</w:t>
            </w:r>
            <w:r w:rsidR="005E232A" w:rsidRPr="008E3A84">
              <w:rPr>
                <w:sz w:val="22"/>
                <w:szCs w:val="22"/>
              </w:rPr>
              <w:t>, направленного</w:t>
            </w:r>
            <w:r w:rsidR="008F5D5D" w:rsidRPr="008E3A84">
              <w:rPr>
                <w:sz w:val="22"/>
                <w:szCs w:val="22"/>
              </w:rPr>
              <w:t xml:space="preserve"> в ПРБ согласно пункту 11 </w:t>
            </w:r>
            <w:r w:rsidR="00C97E3E" w:rsidRPr="008E3A84">
              <w:rPr>
                <w:sz w:val="22"/>
                <w:szCs w:val="22"/>
              </w:rPr>
              <w:t>П</w:t>
            </w:r>
            <w:r w:rsidR="005E232A" w:rsidRPr="008E3A84">
              <w:rPr>
                <w:sz w:val="22"/>
                <w:szCs w:val="22"/>
              </w:rPr>
              <w:t>орядка представления отчета</w:t>
            </w:r>
            <w:r w:rsidR="00C97E3E" w:rsidRPr="008E3A84">
              <w:rPr>
                <w:sz w:val="22"/>
                <w:szCs w:val="22"/>
              </w:rPr>
              <w:t xml:space="preserve"> Приложения N 2 к Инструкции</w:t>
            </w:r>
          </w:p>
        </w:tc>
      </w:tr>
    </w:tbl>
    <w:p w:rsidR="00B41A57" w:rsidRPr="008E3A84" w:rsidRDefault="00B41A57" w:rsidP="00B41A57">
      <w:pPr>
        <w:pStyle w:val="a5"/>
        <w:rPr>
          <w:u w:val="single"/>
        </w:rPr>
      </w:pPr>
      <w:r w:rsidRPr="008E3A84">
        <w:rPr>
          <w:u w:val="single"/>
        </w:rPr>
        <w:t>Примечание:</w:t>
      </w:r>
    </w:p>
    <w:p w:rsidR="00B41A57" w:rsidRPr="008E3A84" w:rsidRDefault="00B41A57" w:rsidP="001F730D">
      <w:pPr>
        <w:pStyle w:val="a5"/>
        <w:numPr>
          <w:ilvl w:val="0"/>
          <w:numId w:val="32"/>
        </w:numPr>
        <w:tabs>
          <w:tab w:val="clear" w:pos="4677"/>
          <w:tab w:val="clear" w:pos="9355"/>
        </w:tabs>
        <w:ind w:left="284" w:hanging="284"/>
        <w:jc w:val="both"/>
        <w:rPr>
          <w:u w:val="single"/>
        </w:rPr>
      </w:pPr>
      <w:r w:rsidRPr="008E3A84">
        <w:t>поле 4 Отч</w:t>
      </w:r>
      <w:r w:rsidR="00FA2B54" w:rsidRPr="008E3A84">
        <w:t>е</w:t>
      </w:r>
      <w:r w:rsidRPr="008E3A84">
        <w:t>та заполняют организации, которым присвоен идентификационный номер субъекта хозяйственной деятельности в соответствии с Инструкцией ПРБ от 11</w:t>
      </w:r>
      <w:r w:rsidR="00D23879" w:rsidRPr="008E3A84">
        <w:t xml:space="preserve"> июня </w:t>
      </w:r>
      <w:r w:rsidRPr="008E3A84">
        <w:t xml:space="preserve">2018 </w:t>
      </w:r>
      <w:r w:rsidR="00A918C4" w:rsidRPr="008E3A84">
        <w:t>года</w:t>
      </w:r>
      <w:r w:rsidRPr="008E3A84">
        <w:t xml:space="preserve">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w:t>
      </w:r>
      <w:r w:rsidR="00A918C4" w:rsidRPr="008E3A84">
        <w:t xml:space="preserve">валютного контроля» (Регистрационный </w:t>
      </w:r>
      <w:r w:rsidR="00A918C4" w:rsidRPr="008E3A84">
        <w:rPr>
          <w:lang w:val="en-US"/>
        </w:rPr>
        <w:t>N</w:t>
      </w:r>
      <w:r w:rsidR="00A918C4" w:rsidRPr="008E3A84">
        <w:t xml:space="preserve"> 8340 от 13 июля 2018 года) (САЗ 18-28).</w:t>
      </w:r>
      <w:r w:rsidR="00A918C4" w:rsidRPr="008E3A84">
        <w:br/>
      </w:r>
      <w:r w:rsidRPr="008E3A84">
        <w:t xml:space="preserve"> В иных случаях в данном поле Отч</w:t>
      </w:r>
      <w:r w:rsidR="00FA2B54" w:rsidRPr="008E3A84">
        <w:t>е</w:t>
      </w:r>
      <w:r w:rsidRPr="008E3A84">
        <w:t xml:space="preserve">та проставляется «0» (ноль);  </w:t>
      </w:r>
    </w:p>
    <w:p w:rsidR="00B41A57" w:rsidRPr="008E3A84" w:rsidRDefault="00B41A57" w:rsidP="001F730D">
      <w:pPr>
        <w:pStyle w:val="a5"/>
        <w:numPr>
          <w:ilvl w:val="0"/>
          <w:numId w:val="32"/>
        </w:numPr>
        <w:tabs>
          <w:tab w:val="clear" w:pos="4677"/>
          <w:tab w:val="clear" w:pos="9355"/>
        </w:tabs>
        <w:ind w:left="284" w:hanging="284"/>
        <w:jc w:val="both"/>
        <w:rPr>
          <w:u w:val="single"/>
        </w:rPr>
      </w:pPr>
      <w:r w:rsidRPr="008E3A84">
        <w:t>поле 5 Отч</w:t>
      </w:r>
      <w:r w:rsidR="00FA2B54" w:rsidRPr="008E3A84">
        <w:t>е</w:t>
      </w:r>
      <w:r w:rsidRPr="008E3A84">
        <w:t>та заполняют организации, имеющие согласно гражданскому законодательству Приднестровской Молдавской Республики статус юридического лица. В иных случаях в данном поле Отч</w:t>
      </w:r>
      <w:r w:rsidR="00FA2B54" w:rsidRPr="008E3A84">
        <w:t>е</w:t>
      </w:r>
      <w:r w:rsidRPr="008E3A84">
        <w:t>та проставляется «0» (ноль);</w:t>
      </w:r>
    </w:p>
    <w:p w:rsidR="00B41A57" w:rsidRPr="008E3A84" w:rsidRDefault="00B41A57" w:rsidP="001F730D">
      <w:pPr>
        <w:pStyle w:val="a5"/>
        <w:numPr>
          <w:ilvl w:val="0"/>
          <w:numId w:val="32"/>
        </w:numPr>
        <w:tabs>
          <w:tab w:val="clear" w:pos="4677"/>
          <w:tab w:val="clear" w:pos="9355"/>
        </w:tabs>
        <w:ind w:left="284" w:hanging="284"/>
        <w:jc w:val="both"/>
        <w:rPr>
          <w:u w:val="single"/>
        </w:rPr>
      </w:pPr>
      <w:r w:rsidRPr="008E3A84">
        <w:t>поле 6 Отч</w:t>
      </w:r>
      <w:r w:rsidR="00FA2B54" w:rsidRPr="008E3A84">
        <w:t>е</w:t>
      </w:r>
      <w:r w:rsidRPr="008E3A84">
        <w:t>та заполняют физические лица, занимающиеся предпринимательской деятельностью без образования юридического лица. В иных случаях в данном поле Отч</w:t>
      </w:r>
      <w:r w:rsidR="00FA2B54" w:rsidRPr="008E3A84">
        <w:t>е</w:t>
      </w:r>
      <w:r w:rsidRPr="008E3A84">
        <w:t>та проставляется «0» (ноль);</w:t>
      </w:r>
    </w:p>
    <w:p w:rsidR="00B41A57" w:rsidRPr="008E3A84" w:rsidRDefault="00B41A57" w:rsidP="001F730D">
      <w:pPr>
        <w:pStyle w:val="a5"/>
        <w:numPr>
          <w:ilvl w:val="0"/>
          <w:numId w:val="31"/>
        </w:numPr>
        <w:tabs>
          <w:tab w:val="clear" w:pos="4677"/>
          <w:tab w:val="clear" w:pos="9355"/>
        </w:tabs>
        <w:ind w:left="284" w:hanging="284"/>
        <w:jc w:val="both"/>
      </w:pPr>
      <w:r w:rsidRPr="008E3A84">
        <w:t>при отражении данных по коду показателя 20 поля 14 и 15 Отч</w:t>
      </w:r>
      <w:r w:rsidR="00FA2B54" w:rsidRPr="008E3A84">
        <w:t>е</w:t>
      </w:r>
      <w:r w:rsidRPr="008E3A84">
        <w:t>та не заполняются;</w:t>
      </w:r>
    </w:p>
    <w:p w:rsidR="00B41A57" w:rsidRPr="008E3A84" w:rsidRDefault="00B41A57" w:rsidP="001F730D">
      <w:pPr>
        <w:pStyle w:val="a5"/>
        <w:numPr>
          <w:ilvl w:val="0"/>
          <w:numId w:val="31"/>
        </w:numPr>
        <w:tabs>
          <w:tab w:val="clear" w:pos="4677"/>
          <w:tab w:val="clear" w:pos="9355"/>
        </w:tabs>
        <w:ind w:left="284" w:hanging="284"/>
        <w:jc w:val="both"/>
      </w:pPr>
      <w:r w:rsidRPr="008E3A84">
        <w:lastRenderedPageBreak/>
        <w:t>при отражении данных по показателям Раздела 3 Отч</w:t>
      </w:r>
      <w:r w:rsidR="00FA2B54" w:rsidRPr="008E3A84">
        <w:t>е</w:t>
      </w:r>
      <w:r w:rsidRPr="008E3A84">
        <w:t>та поля 13, 15,16,17 не заполняются;</w:t>
      </w:r>
    </w:p>
    <w:p w:rsidR="00D93943" w:rsidRPr="008E3A84" w:rsidRDefault="00B41A57" w:rsidP="0002538E">
      <w:pPr>
        <w:pStyle w:val="a5"/>
        <w:numPr>
          <w:ilvl w:val="0"/>
          <w:numId w:val="31"/>
        </w:numPr>
        <w:tabs>
          <w:tab w:val="clear" w:pos="4677"/>
          <w:tab w:val="clear" w:pos="9355"/>
        </w:tabs>
        <w:ind w:left="360"/>
        <w:jc w:val="both"/>
      </w:pPr>
      <w:r w:rsidRPr="008E3A84">
        <w:t xml:space="preserve">в полях </w:t>
      </w:r>
      <w:r w:rsidR="00D1293B" w:rsidRPr="008E3A84">
        <w:t>13</w:t>
      </w:r>
      <w:r w:rsidRPr="008E3A84">
        <w:t>-</w:t>
      </w:r>
      <w:r w:rsidR="00D1293B" w:rsidRPr="008E3A84">
        <w:t>17</w:t>
      </w:r>
      <w:r w:rsidRPr="008E3A84">
        <w:t xml:space="preserve"> Отч</w:t>
      </w:r>
      <w:r w:rsidR="00FA2B54" w:rsidRPr="008E3A84">
        <w:t>е</w:t>
      </w:r>
      <w:r w:rsidRPr="008E3A84">
        <w:t>та сумма отражается по номиналу валюты, указанной в поле 12 Отч</w:t>
      </w:r>
      <w:r w:rsidR="00FA2B54" w:rsidRPr="008E3A84">
        <w:t>е</w:t>
      </w:r>
      <w:r w:rsidRPr="008E3A84">
        <w:t>та, с точностью до 0,00.</w:t>
      </w:r>
    </w:p>
    <w:p w:rsidR="0002538E" w:rsidRPr="008E3A84" w:rsidRDefault="00B42B2B" w:rsidP="0002538E">
      <w:pPr>
        <w:pStyle w:val="a5"/>
        <w:numPr>
          <w:ilvl w:val="0"/>
          <w:numId w:val="31"/>
        </w:numPr>
        <w:tabs>
          <w:tab w:val="clear" w:pos="4677"/>
          <w:tab w:val="clear" w:pos="9355"/>
        </w:tabs>
        <w:ind w:left="360"/>
        <w:jc w:val="both"/>
      </w:pPr>
      <w:r w:rsidRPr="008E3A84">
        <w:t>поле 18 Отчета в случае отсутствия данных не заполняется.</w:t>
      </w:r>
    </w:p>
    <w:p w:rsidR="00D93943" w:rsidRPr="008E3A84" w:rsidRDefault="00D93943" w:rsidP="00D93943">
      <w:pPr>
        <w:pStyle w:val="a5"/>
        <w:ind w:left="720"/>
        <w:jc w:val="right"/>
        <w:rPr>
          <w:sz w:val="22"/>
          <w:szCs w:val="22"/>
        </w:rPr>
      </w:pPr>
      <w:r w:rsidRPr="008E3A84">
        <w:rPr>
          <w:sz w:val="22"/>
          <w:szCs w:val="22"/>
        </w:rPr>
        <w:t>Таблица 1. Код раздела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9153"/>
      </w:tblGrid>
      <w:tr w:rsidR="007327A2" w:rsidRPr="008E3A84" w:rsidTr="004204DC">
        <w:trPr>
          <w:trHeight w:val="311"/>
          <w:tblHeader/>
        </w:trPr>
        <w:tc>
          <w:tcPr>
            <w:tcW w:w="855" w:type="dxa"/>
            <w:tcBorders>
              <w:bottom w:val="single" w:sz="4" w:space="0" w:color="auto"/>
            </w:tcBorders>
            <w:shd w:val="clear" w:color="auto" w:fill="D9D9D9"/>
            <w:vAlign w:val="center"/>
          </w:tcPr>
          <w:p w:rsidR="00D93943" w:rsidRPr="008E3A84" w:rsidRDefault="00D93943" w:rsidP="004204DC">
            <w:pPr>
              <w:jc w:val="center"/>
            </w:pPr>
            <w:r w:rsidRPr="008E3A84">
              <w:rPr>
                <w:sz w:val="22"/>
                <w:szCs w:val="22"/>
              </w:rPr>
              <w:t>Код</w:t>
            </w:r>
          </w:p>
        </w:tc>
        <w:tc>
          <w:tcPr>
            <w:tcW w:w="9153" w:type="dxa"/>
            <w:tcBorders>
              <w:bottom w:val="single" w:sz="4" w:space="0" w:color="auto"/>
            </w:tcBorders>
            <w:shd w:val="clear" w:color="auto" w:fill="D9D9D9"/>
            <w:vAlign w:val="center"/>
          </w:tcPr>
          <w:p w:rsidR="00D93943" w:rsidRPr="008E3A84" w:rsidRDefault="00D93943" w:rsidP="004204DC">
            <w:r w:rsidRPr="008E3A84">
              <w:rPr>
                <w:sz w:val="22"/>
                <w:szCs w:val="22"/>
              </w:rPr>
              <w:t>Наименование раздела</w:t>
            </w:r>
          </w:p>
        </w:tc>
      </w:tr>
      <w:tr w:rsidR="007327A2" w:rsidRPr="008E3A84" w:rsidTr="004204DC">
        <w:trPr>
          <w:trHeight w:val="510"/>
          <w:tblHeader/>
        </w:trPr>
        <w:tc>
          <w:tcPr>
            <w:tcW w:w="855" w:type="dxa"/>
            <w:vAlign w:val="center"/>
          </w:tcPr>
          <w:p w:rsidR="00D93943" w:rsidRPr="008E3A84" w:rsidRDefault="00D93943" w:rsidP="004204DC">
            <w:pPr>
              <w:jc w:val="center"/>
            </w:pPr>
            <w:r w:rsidRPr="008E3A84">
              <w:rPr>
                <w:sz w:val="22"/>
                <w:szCs w:val="22"/>
              </w:rPr>
              <w:t>1</w:t>
            </w:r>
          </w:p>
        </w:tc>
        <w:tc>
          <w:tcPr>
            <w:tcW w:w="9153" w:type="dxa"/>
            <w:vAlign w:val="center"/>
          </w:tcPr>
          <w:p w:rsidR="00D93943" w:rsidRPr="008E3A84" w:rsidRDefault="00D93943" w:rsidP="004204DC">
            <w:r w:rsidRPr="008E3A84">
              <w:rPr>
                <w:sz w:val="22"/>
                <w:szCs w:val="22"/>
              </w:rPr>
              <w:t>Прямые и портфельные инвестиции</w:t>
            </w:r>
          </w:p>
        </w:tc>
      </w:tr>
      <w:tr w:rsidR="007327A2" w:rsidRPr="008E3A84" w:rsidTr="004204DC">
        <w:trPr>
          <w:trHeight w:val="510"/>
          <w:tblHeader/>
        </w:trPr>
        <w:tc>
          <w:tcPr>
            <w:tcW w:w="855" w:type="dxa"/>
            <w:vAlign w:val="center"/>
          </w:tcPr>
          <w:p w:rsidR="00D93943" w:rsidRPr="008E3A84" w:rsidRDefault="00D93943" w:rsidP="004204DC">
            <w:pPr>
              <w:jc w:val="center"/>
            </w:pPr>
            <w:r w:rsidRPr="008E3A84">
              <w:rPr>
                <w:sz w:val="22"/>
                <w:szCs w:val="22"/>
              </w:rPr>
              <w:t>2</w:t>
            </w:r>
          </w:p>
        </w:tc>
        <w:tc>
          <w:tcPr>
            <w:tcW w:w="9153" w:type="dxa"/>
            <w:vAlign w:val="center"/>
          </w:tcPr>
          <w:p w:rsidR="00D93943" w:rsidRPr="008E3A84" w:rsidRDefault="00D93943" w:rsidP="004204DC">
            <w:r w:rsidRPr="008E3A84">
              <w:rPr>
                <w:sz w:val="22"/>
                <w:szCs w:val="22"/>
              </w:rPr>
              <w:t>Прочие инвестиции</w:t>
            </w:r>
          </w:p>
        </w:tc>
      </w:tr>
      <w:tr w:rsidR="00D93943" w:rsidRPr="008E3A84" w:rsidTr="004204DC">
        <w:trPr>
          <w:trHeight w:val="510"/>
          <w:tblHeader/>
        </w:trPr>
        <w:tc>
          <w:tcPr>
            <w:tcW w:w="855" w:type="dxa"/>
            <w:vAlign w:val="center"/>
          </w:tcPr>
          <w:p w:rsidR="00D93943" w:rsidRPr="008E3A84" w:rsidRDefault="00D93943" w:rsidP="004204DC">
            <w:pPr>
              <w:jc w:val="center"/>
            </w:pPr>
            <w:r w:rsidRPr="008E3A84">
              <w:rPr>
                <w:sz w:val="22"/>
                <w:szCs w:val="22"/>
              </w:rPr>
              <w:t>3</w:t>
            </w:r>
          </w:p>
        </w:tc>
        <w:tc>
          <w:tcPr>
            <w:tcW w:w="9153" w:type="dxa"/>
            <w:vAlign w:val="center"/>
          </w:tcPr>
          <w:p w:rsidR="00D93943" w:rsidRPr="008E3A84" w:rsidRDefault="00D93943" w:rsidP="004204DC">
            <w:r w:rsidRPr="008E3A84">
              <w:rPr>
                <w:sz w:val="22"/>
                <w:szCs w:val="22"/>
              </w:rPr>
              <w:t>Доходы от прямых, портфельных и прочих инвестиций</w:t>
            </w:r>
          </w:p>
        </w:tc>
      </w:tr>
    </w:tbl>
    <w:p w:rsidR="00D93943" w:rsidRPr="008E3A84" w:rsidRDefault="00D93943" w:rsidP="004B563C">
      <w:pPr>
        <w:pStyle w:val="a5"/>
        <w:ind w:left="720"/>
        <w:jc w:val="right"/>
        <w:rPr>
          <w:sz w:val="16"/>
          <w:szCs w:val="16"/>
        </w:rPr>
      </w:pPr>
    </w:p>
    <w:p w:rsidR="00D93943" w:rsidRPr="008E3A84" w:rsidRDefault="00D93943" w:rsidP="00D93943">
      <w:pPr>
        <w:pStyle w:val="a5"/>
        <w:ind w:left="720"/>
        <w:jc w:val="right"/>
        <w:rPr>
          <w:sz w:val="22"/>
          <w:szCs w:val="22"/>
        </w:rPr>
      </w:pPr>
      <w:r w:rsidRPr="008E3A84">
        <w:rPr>
          <w:sz w:val="22"/>
          <w:szCs w:val="22"/>
        </w:rPr>
        <w:t>Таблица 2. Код категории показателя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9090"/>
      </w:tblGrid>
      <w:tr w:rsidR="007327A2" w:rsidRPr="008E3A84" w:rsidTr="004204DC">
        <w:trPr>
          <w:trHeight w:val="311"/>
          <w:tblHeader/>
        </w:trPr>
        <w:tc>
          <w:tcPr>
            <w:tcW w:w="918" w:type="dxa"/>
            <w:tcBorders>
              <w:bottom w:val="single" w:sz="4" w:space="0" w:color="auto"/>
            </w:tcBorders>
            <w:shd w:val="clear" w:color="auto" w:fill="D9D9D9"/>
            <w:vAlign w:val="center"/>
          </w:tcPr>
          <w:p w:rsidR="00D93943" w:rsidRPr="008E3A84" w:rsidRDefault="00D93943" w:rsidP="004204DC">
            <w:pPr>
              <w:jc w:val="center"/>
            </w:pPr>
            <w:r w:rsidRPr="008E3A84">
              <w:rPr>
                <w:sz w:val="22"/>
                <w:szCs w:val="22"/>
              </w:rPr>
              <w:t>Код</w:t>
            </w:r>
          </w:p>
        </w:tc>
        <w:tc>
          <w:tcPr>
            <w:tcW w:w="9090" w:type="dxa"/>
            <w:tcBorders>
              <w:bottom w:val="single" w:sz="4" w:space="0" w:color="auto"/>
            </w:tcBorders>
            <w:shd w:val="clear" w:color="auto" w:fill="D9D9D9"/>
            <w:vAlign w:val="center"/>
          </w:tcPr>
          <w:p w:rsidR="00D93943" w:rsidRPr="008E3A84" w:rsidRDefault="00D93943" w:rsidP="004204DC">
            <w:r w:rsidRPr="008E3A84">
              <w:rPr>
                <w:sz w:val="22"/>
                <w:szCs w:val="22"/>
              </w:rPr>
              <w:t xml:space="preserve">Наименование показателя </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11</w:t>
            </w:r>
          </w:p>
        </w:tc>
        <w:tc>
          <w:tcPr>
            <w:tcW w:w="9090" w:type="dxa"/>
            <w:vAlign w:val="center"/>
          </w:tcPr>
          <w:p w:rsidR="00D93943" w:rsidRPr="008E3A84" w:rsidRDefault="00D93943" w:rsidP="004204DC">
            <w:r w:rsidRPr="008E3A84">
              <w:rPr>
                <w:sz w:val="22"/>
                <w:szCs w:val="22"/>
              </w:rPr>
              <w:t>Прямые инвестиции – взносы в капитал в форме материальных и нематериальных активов</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12</w:t>
            </w:r>
          </w:p>
        </w:tc>
        <w:tc>
          <w:tcPr>
            <w:tcW w:w="9090" w:type="dxa"/>
            <w:vAlign w:val="center"/>
          </w:tcPr>
          <w:p w:rsidR="00D93943" w:rsidRPr="008E3A84" w:rsidRDefault="00D93943" w:rsidP="004204DC">
            <w:r w:rsidRPr="008E3A84">
              <w:rPr>
                <w:sz w:val="22"/>
                <w:szCs w:val="22"/>
              </w:rPr>
              <w:t>Прямые инвестиции – взносы в капитал денежными средствами</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13</w:t>
            </w:r>
          </w:p>
        </w:tc>
        <w:tc>
          <w:tcPr>
            <w:tcW w:w="9090" w:type="dxa"/>
            <w:vAlign w:val="center"/>
          </w:tcPr>
          <w:p w:rsidR="00D93943" w:rsidRPr="008E3A84" w:rsidRDefault="00D93943" w:rsidP="004204DC">
            <w:r w:rsidRPr="008E3A84">
              <w:rPr>
                <w:sz w:val="22"/>
                <w:szCs w:val="22"/>
              </w:rPr>
              <w:t>Прямые инвестиции – реинвестирование</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15</w:t>
            </w:r>
          </w:p>
        </w:tc>
        <w:tc>
          <w:tcPr>
            <w:tcW w:w="9090" w:type="dxa"/>
            <w:vAlign w:val="center"/>
          </w:tcPr>
          <w:p w:rsidR="00D93943" w:rsidRPr="008E3A84" w:rsidRDefault="00D93943" w:rsidP="00D410C6">
            <w:r w:rsidRPr="008E3A84">
              <w:rPr>
                <w:sz w:val="22"/>
                <w:szCs w:val="22"/>
              </w:rPr>
              <w:t xml:space="preserve">Прямые инвестиции – кредиты и займы на срок до </w:t>
            </w:r>
            <w:r w:rsidR="00D410C6" w:rsidRPr="008E3A84">
              <w:rPr>
                <w:sz w:val="22"/>
                <w:szCs w:val="22"/>
              </w:rPr>
              <w:t>1 года включительно</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16</w:t>
            </w:r>
          </w:p>
        </w:tc>
        <w:tc>
          <w:tcPr>
            <w:tcW w:w="9090" w:type="dxa"/>
            <w:vAlign w:val="center"/>
          </w:tcPr>
          <w:p w:rsidR="00D93943" w:rsidRPr="008E3A84" w:rsidRDefault="00D93943" w:rsidP="00D410C6">
            <w:r w:rsidRPr="008E3A84">
              <w:rPr>
                <w:sz w:val="22"/>
                <w:szCs w:val="22"/>
              </w:rPr>
              <w:t xml:space="preserve">Прямые инвестиции – кредиты и займы на срок свыше </w:t>
            </w:r>
            <w:r w:rsidR="00D410C6" w:rsidRPr="008E3A84">
              <w:rPr>
                <w:sz w:val="22"/>
                <w:szCs w:val="22"/>
              </w:rPr>
              <w:t>1 года</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17</w:t>
            </w:r>
          </w:p>
        </w:tc>
        <w:tc>
          <w:tcPr>
            <w:tcW w:w="9090" w:type="dxa"/>
            <w:vAlign w:val="center"/>
          </w:tcPr>
          <w:p w:rsidR="00D93943" w:rsidRPr="008E3A84" w:rsidRDefault="00D93943" w:rsidP="004204DC">
            <w:r w:rsidRPr="008E3A84">
              <w:rPr>
                <w:sz w:val="22"/>
                <w:szCs w:val="22"/>
              </w:rPr>
              <w:t>Прямые инвестиции – прочие</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18</w:t>
            </w:r>
          </w:p>
        </w:tc>
        <w:tc>
          <w:tcPr>
            <w:tcW w:w="9090" w:type="dxa"/>
            <w:vAlign w:val="center"/>
          </w:tcPr>
          <w:p w:rsidR="00D93943" w:rsidRPr="008E3A84" w:rsidRDefault="00D93943" w:rsidP="004204DC">
            <w:r w:rsidRPr="008E3A84">
              <w:rPr>
                <w:sz w:val="22"/>
                <w:szCs w:val="22"/>
              </w:rPr>
              <w:t>Портфельные инвестиции – долевые ценные бумаги</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19</w:t>
            </w:r>
          </w:p>
        </w:tc>
        <w:tc>
          <w:tcPr>
            <w:tcW w:w="9090" w:type="dxa"/>
            <w:vAlign w:val="center"/>
          </w:tcPr>
          <w:p w:rsidR="00D93943" w:rsidRPr="008E3A84" w:rsidRDefault="00D93943" w:rsidP="004204DC">
            <w:r w:rsidRPr="008E3A84">
              <w:rPr>
                <w:sz w:val="22"/>
                <w:szCs w:val="22"/>
              </w:rPr>
              <w:t>Портфельные инвестиции – долговые ценные бумаги</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20</w:t>
            </w:r>
          </w:p>
        </w:tc>
        <w:tc>
          <w:tcPr>
            <w:tcW w:w="9090" w:type="dxa"/>
            <w:vAlign w:val="center"/>
          </w:tcPr>
          <w:p w:rsidR="00D93943" w:rsidRPr="008E3A84" w:rsidRDefault="00D93943" w:rsidP="004204DC">
            <w:r w:rsidRPr="008E3A84">
              <w:rPr>
                <w:sz w:val="22"/>
                <w:szCs w:val="22"/>
              </w:rPr>
              <w:t xml:space="preserve">Прочие инвестиции – торговые кредиты </w:t>
            </w:r>
            <w:r w:rsidRPr="008E3A84">
              <w:rPr>
                <w:sz w:val="16"/>
                <w:szCs w:val="16"/>
              </w:rPr>
              <w:t>(дебиторская и кредиторская задолженность за товары, работы, услуги)</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22</w:t>
            </w:r>
          </w:p>
        </w:tc>
        <w:tc>
          <w:tcPr>
            <w:tcW w:w="9090" w:type="dxa"/>
            <w:vAlign w:val="center"/>
          </w:tcPr>
          <w:p w:rsidR="00D93943" w:rsidRPr="008E3A84" w:rsidRDefault="00D93943" w:rsidP="004204DC">
            <w:r w:rsidRPr="008E3A84">
              <w:rPr>
                <w:sz w:val="22"/>
                <w:szCs w:val="22"/>
              </w:rPr>
              <w:t>Прочие инвестиц</w:t>
            </w:r>
            <w:r w:rsidR="007F0493" w:rsidRPr="008E3A84">
              <w:rPr>
                <w:sz w:val="22"/>
                <w:szCs w:val="22"/>
              </w:rPr>
              <w:t>ии – кредиты и займы на срок до</w:t>
            </w:r>
            <w:r w:rsidR="00D410C6" w:rsidRPr="008E3A84">
              <w:rPr>
                <w:sz w:val="22"/>
                <w:szCs w:val="22"/>
              </w:rPr>
              <w:t xml:space="preserve"> 1 года включительно</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23</w:t>
            </w:r>
          </w:p>
        </w:tc>
        <w:tc>
          <w:tcPr>
            <w:tcW w:w="9090" w:type="dxa"/>
            <w:vAlign w:val="center"/>
          </w:tcPr>
          <w:p w:rsidR="00D93943" w:rsidRPr="008E3A84" w:rsidRDefault="00D93943" w:rsidP="004204DC">
            <w:r w:rsidRPr="008E3A84">
              <w:rPr>
                <w:sz w:val="22"/>
                <w:szCs w:val="22"/>
              </w:rPr>
              <w:t xml:space="preserve">Прочие инвестиции – кредиты и займы на срок свыше </w:t>
            </w:r>
            <w:r w:rsidR="00D410C6" w:rsidRPr="008E3A84">
              <w:rPr>
                <w:sz w:val="22"/>
                <w:szCs w:val="22"/>
              </w:rPr>
              <w:t>1 года</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24</w:t>
            </w:r>
          </w:p>
        </w:tc>
        <w:tc>
          <w:tcPr>
            <w:tcW w:w="9090" w:type="dxa"/>
            <w:vAlign w:val="center"/>
          </w:tcPr>
          <w:p w:rsidR="00D93943" w:rsidRPr="008E3A84" w:rsidRDefault="00D93943" w:rsidP="004204DC">
            <w:r w:rsidRPr="008E3A84">
              <w:rPr>
                <w:sz w:val="22"/>
                <w:szCs w:val="22"/>
              </w:rPr>
              <w:t>Прочие инвестиции – банковские вклады</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25</w:t>
            </w:r>
          </w:p>
        </w:tc>
        <w:tc>
          <w:tcPr>
            <w:tcW w:w="9090" w:type="dxa"/>
            <w:vAlign w:val="center"/>
          </w:tcPr>
          <w:p w:rsidR="00D93943" w:rsidRPr="008E3A84" w:rsidRDefault="00D93943" w:rsidP="004204DC">
            <w:r w:rsidRPr="008E3A84">
              <w:rPr>
                <w:sz w:val="22"/>
                <w:szCs w:val="22"/>
              </w:rPr>
              <w:t>Прочие инвестиции – финансовая аренда (лизинг)</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26</w:t>
            </w:r>
          </w:p>
        </w:tc>
        <w:tc>
          <w:tcPr>
            <w:tcW w:w="9090" w:type="dxa"/>
            <w:vAlign w:val="center"/>
          </w:tcPr>
          <w:p w:rsidR="00D93943" w:rsidRPr="008E3A84" w:rsidRDefault="00D93943" w:rsidP="004204DC">
            <w:r w:rsidRPr="008E3A84">
              <w:rPr>
                <w:sz w:val="22"/>
                <w:szCs w:val="22"/>
              </w:rPr>
              <w:t>Прочие инвестиции – прочие</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30</w:t>
            </w:r>
          </w:p>
        </w:tc>
        <w:tc>
          <w:tcPr>
            <w:tcW w:w="9090" w:type="dxa"/>
            <w:vAlign w:val="center"/>
          </w:tcPr>
          <w:p w:rsidR="00D93943" w:rsidRPr="008E3A84" w:rsidRDefault="00D93943" w:rsidP="004204DC">
            <w:r w:rsidRPr="008E3A84">
              <w:rPr>
                <w:sz w:val="22"/>
                <w:szCs w:val="22"/>
              </w:rPr>
              <w:t>Доходы от прямых инвестиций – реинвестированный доход</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32</w:t>
            </w:r>
          </w:p>
        </w:tc>
        <w:tc>
          <w:tcPr>
            <w:tcW w:w="9090" w:type="dxa"/>
            <w:vAlign w:val="center"/>
          </w:tcPr>
          <w:p w:rsidR="00D93943" w:rsidRPr="008E3A84" w:rsidRDefault="00D93943" w:rsidP="004204DC">
            <w:r w:rsidRPr="008E3A84">
              <w:rPr>
                <w:sz w:val="22"/>
                <w:szCs w:val="22"/>
              </w:rPr>
              <w:t>Доходы от прямых инвестиций – доход от участия в капитале</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33</w:t>
            </w:r>
          </w:p>
        </w:tc>
        <w:tc>
          <w:tcPr>
            <w:tcW w:w="9090" w:type="dxa"/>
            <w:vAlign w:val="center"/>
          </w:tcPr>
          <w:p w:rsidR="00D93943" w:rsidRPr="008E3A84" w:rsidRDefault="00D93943" w:rsidP="004204DC">
            <w:r w:rsidRPr="008E3A84">
              <w:rPr>
                <w:sz w:val="22"/>
                <w:szCs w:val="22"/>
              </w:rPr>
              <w:t>Доходы от прямых инвестиций – доход по долговым ценным бумагам</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34</w:t>
            </w:r>
          </w:p>
        </w:tc>
        <w:tc>
          <w:tcPr>
            <w:tcW w:w="9090" w:type="dxa"/>
            <w:vAlign w:val="center"/>
          </w:tcPr>
          <w:p w:rsidR="00D93943" w:rsidRPr="008E3A84" w:rsidRDefault="00D93943" w:rsidP="004204DC">
            <w:r w:rsidRPr="008E3A84">
              <w:rPr>
                <w:sz w:val="22"/>
                <w:szCs w:val="22"/>
              </w:rPr>
              <w:t>Доходы от прямых инвестиций – процентный доход по кредитам и займам</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35</w:t>
            </w:r>
          </w:p>
        </w:tc>
        <w:tc>
          <w:tcPr>
            <w:tcW w:w="9090" w:type="dxa"/>
            <w:vAlign w:val="center"/>
          </w:tcPr>
          <w:p w:rsidR="00D93943" w:rsidRPr="008E3A84" w:rsidRDefault="00D93943" w:rsidP="004204DC">
            <w:r w:rsidRPr="008E3A84">
              <w:rPr>
                <w:sz w:val="22"/>
                <w:szCs w:val="22"/>
              </w:rPr>
              <w:t>Доходы от портфельных инвестиций – доход по долевым ценным бумагам</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36</w:t>
            </w:r>
          </w:p>
        </w:tc>
        <w:tc>
          <w:tcPr>
            <w:tcW w:w="9090" w:type="dxa"/>
            <w:vAlign w:val="center"/>
          </w:tcPr>
          <w:p w:rsidR="00D93943" w:rsidRPr="008E3A84" w:rsidRDefault="00D93943" w:rsidP="004204DC">
            <w:r w:rsidRPr="008E3A84">
              <w:rPr>
                <w:sz w:val="22"/>
                <w:szCs w:val="22"/>
              </w:rPr>
              <w:t>Доходы от портфельных инвестиций – доход по долговым ценным бумагам</w:t>
            </w:r>
          </w:p>
        </w:tc>
      </w:tr>
      <w:tr w:rsidR="007327A2"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37</w:t>
            </w:r>
          </w:p>
        </w:tc>
        <w:tc>
          <w:tcPr>
            <w:tcW w:w="9090" w:type="dxa"/>
            <w:vAlign w:val="center"/>
          </w:tcPr>
          <w:p w:rsidR="00D93943" w:rsidRPr="008E3A84" w:rsidRDefault="00D93943" w:rsidP="004204DC">
            <w:r w:rsidRPr="008E3A84">
              <w:rPr>
                <w:sz w:val="22"/>
                <w:szCs w:val="22"/>
              </w:rPr>
              <w:t>Доходы от прочих инвестиций – процентные платежи (вознаграждение лизингодателю)</w:t>
            </w:r>
          </w:p>
        </w:tc>
      </w:tr>
      <w:tr w:rsidR="00D93943" w:rsidRPr="008E3A84" w:rsidTr="004204DC">
        <w:trPr>
          <w:trHeight w:val="417"/>
          <w:tblHeader/>
        </w:trPr>
        <w:tc>
          <w:tcPr>
            <w:tcW w:w="918" w:type="dxa"/>
            <w:vAlign w:val="center"/>
          </w:tcPr>
          <w:p w:rsidR="00D93943" w:rsidRPr="008E3A84" w:rsidRDefault="00D93943" w:rsidP="004204DC">
            <w:pPr>
              <w:jc w:val="center"/>
            </w:pPr>
            <w:r w:rsidRPr="008E3A84">
              <w:rPr>
                <w:sz w:val="22"/>
                <w:szCs w:val="22"/>
              </w:rPr>
              <w:t>38</w:t>
            </w:r>
          </w:p>
        </w:tc>
        <w:tc>
          <w:tcPr>
            <w:tcW w:w="9090" w:type="dxa"/>
            <w:vAlign w:val="center"/>
          </w:tcPr>
          <w:p w:rsidR="00D93943" w:rsidRPr="008E3A84" w:rsidRDefault="00D93943" w:rsidP="004204DC">
            <w:r w:rsidRPr="008E3A84">
              <w:rPr>
                <w:sz w:val="22"/>
                <w:szCs w:val="22"/>
              </w:rPr>
              <w:t>Доходы от прочих инвестиций – прочий доход</w:t>
            </w:r>
          </w:p>
        </w:tc>
      </w:tr>
    </w:tbl>
    <w:p w:rsidR="004B563C" w:rsidRPr="008E3A84" w:rsidRDefault="004B563C" w:rsidP="00D93943">
      <w:pPr>
        <w:pStyle w:val="a5"/>
        <w:ind w:left="720"/>
        <w:jc w:val="right"/>
        <w:rPr>
          <w:sz w:val="16"/>
          <w:szCs w:val="16"/>
        </w:rPr>
      </w:pPr>
    </w:p>
    <w:p w:rsidR="00765765" w:rsidRPr="008E3A84" w:rsidRDefault="00765765" w:rsidP="00765765">
      <w:pPr>
        <w:pStyle w:val="a5"/>
        <w:ind w:left="720"/>
        <w:jc w:val="right"/>
        <w:rPr>
          <w:sz w:val="22"/>
          <w:szCs w:val="22"/>
        </w:rPr>
      </w:pPr>
      <w:r w:rsidRPr="008E3A84">
        <w:rPr>
          <w:sz w:val="22"/>
          <w:szCs w:val="22"/>
        </w:rPr>
        <w:t>Таблица 3. Код инвестирования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
        <w:gridCol w:w="9352"/>
      </w:tblGrid>
      <w:tr w:rsidR="007327A2" w:rsidRPr="008E3A84" w:rsidTr="00A918C4">
        <w:trPr>
          <w:trHeight w:val="311"/>
          <w:tblHeader/>
        </w:trPr>
        <w:tc>
          <w:tcPr>
            <w:tcW w:w="452" w:type="pct"/>
            <w:shd w:val="clear" w:color="auto" w:fill="D9D9D9"/>
            <w:vAlign w:val="center"/>
          </w:tcPr>
          <w:p w:rsidR="00765765" w:rsidRPr="008E3A84" w:rsidRDefault="00765765" w:rsidP="004204DC">
            <w:pPr>
              <w:jc w:val="center"/>
            </w:pPr>
            <w:r w:rsidRPr="008E3A84">
              <w:rPr>
                <w:sz w:val="22"/>
                <w:szCs w:val="22"/>
              </w:rPr>
              <w:t>Код</w:t>
            </w:r>
          </w:p>
        </w:tc>
        <w:tc>
          <w:tcPr>
            <w:tcW w:w="4548" w:type="pct"/>
            <w:shd w:val="clear" w:color="auto" w:fill="D9D9D9"/>
            <w:vAlign w:val="center"/>
          </w:tcPr>
          <w:p w:rsidR="00765765" w:rsidRPr="008E3A84" w:rsidRDefault="00765765" w:rsidP="004204DC">
            <w:r w:rsidRPr="008E3A84">
              <w:rPr>
                <w:sz w:val="22"/>
                <w:szCs w:val="22"/>
              </w:rPr>
              <w:t xml:space="preserve">Наименование </w:t>
            </w:r>
          </w:p>
        </w:tc>
      </w:tr>
      <w:tr w:rsidR="007327A2" w:rsidRPr="008E3A84" w:rsidTr="00A918C4">
        <w:trPr>
          <w:trHeight w:val="417"/>
          <w:tblHeader/>
        </w:trPr>
        <w:tc>
          <w:tcPr>
            <w:tcW w:w="452" w:type="pct"/>
            <w:vAlign w:val="center"/>
          </w:tcPr>
          <w:p w:rsidR="00765765" w:rsidRPr="008E3A84" w:rsidRDefault="00765765" w:rsidP="004204DC">
            <w:pPr>
              <w:jc w:val="center"/>
            </w:pPr>
            <w:r w:rsidRPr="008E3A84">
              <w:rPr>
                <w:sz w:val="22"/>
                <w:szCs w:val="22"/>
              </w:rPr>
              <w:t>1</w:t>
            </w:r>
          </w:p>
        </w:tc>
        <w:tc>
          <w:tcPr>
            <w:tcW w:w="4548" w:type="pct"/>
            <w:vAlign w:val="center"/>
          </w:tcPr>
          <w:p w:rsidR="00765765" w:rsidRPr="008E3A84" w:rsidRDefault="00765765" w:rsidP="004204DC">
            <w:r w:rsidRPr="008E3A84">
              <w:rPr>
                <w:sz w:val="22"/>
                <w:szCs w:val="22"/>
              </w:rPr>
              <w:t>Инвестиции в Приднестровскую Молдавскую Республику</w:t>
            </w:r>
          </w:p>
        </w:tc>
      </w:tr>
      <w:tr w:rsidR="007327A2" w:rsidRPr="008E3A84" w:rsidTr="00A918C4">
        <w:trPr>
          <w:trHeight w:val="417"/>
          <w:tblHeader/>
        </w:trPr>
        <w:tc>
          <w:tcPr>
            <w:tcW w:w="452" w:type="pct"/>
            <w:vAlign w:val="center"/>
          </w:tcPr>
          <w:p w:rsidR="00765765" w:rsidRPr="008E3A84" w:rsidRDefault="00765765" w:rsidP="004204DC">
            <w:pPr>
              <w:jc w:val="center"/>
            </w:pPr>
            <w:r w:rsidRPr="008E3A84">
              <w:rPr>
                <w:sz w:val="22"/>
                <w:szCs w:val="22"/>
              </w:rPr>
              <w:t>2</w:t>
            </w:r>
          </w:p>
        </w:tc>
        <w:tc>
          <w:tcPr>
            <w:tcW w:w="4548" w:type="pct"/>
            <w:vAlign w:val="center"/>
          </w:tcPr>
          <w:p w:rsidR="00765765" w:rsidRPr="008E3A84" w:rsidRDefault="00765765" w:rsidP="004204DC">
            <w:r w:rsidRPr="008E3A84">
              <w:rPr>
                <w:sz w:val="22"/>
                <w:szCs w:val="22"/>
              </w:rPr>
              <w:t>Инвестиции из Приднестровской Молдавской Республики</w:t>
            </w:r>
          </w:p>
        </w:tc>
      </w:tr>
    </w:tbl>
    <w:p w:rsidR="00765765" w:rsidRPr="008E3A84" w:rsidRDefault="00765765" w:rsidP="00A918C4">
      <w:pPr>
        <w:spacing w:line="276" w:lineRule="auto"/>
        <w:jc w:val="center"/>
        <w:rPr>
          <w:sz w:val="20"/>
          <w:szCs w:val="20"/>
        </w:rPr>
      </w:pPr>
      <w:r w:rsidRPr="008E3A84">
        <w:rPr>
          <w:sz w:val="22"/>
          <w:szCs w:val="22"/>
        </w:rPr>
        <w:br w:type="page"/>
      </w:r>
      <w:r w:rsidRPr="008E3A84">
        <w:rPr>
          <w:sz w:val="20"/>
          <w:szCs w:val="20"/>
        </w:rPr>
        <w:lastRenderedPageBreak/>
        <w:t>Приложение</w:t>
      </w:r>
      <w:r w:rsidRPr="008E3A84">
        <w:rPr>
          <w:sz w:val="20"/>
          <w:szCs w:val="20"/>
          <w:lang w:val="en-US"/>
        </w:rPr>
        <w:t>N</w:t>
      </w:r>
      <w:r w:rsidR="00D9313D" w:rsidRPr="008E3A84">
        <w:rPr>
          <w:sz w:val="20"/>
          <w:szCs w:val="20"/>
        </w:rPr>
        <w:t>2</w:t>
      </w:r>
    </w:p>
    <w:p w:rsidR="00765765" w:rsidRPr="008E3A84" w:rsidRDefault="00765765" w:rsidP="00A918C4">
      <w:pPr>
        <w:ind w:left="5103"/>
        <w:rPr>
          <w:sz w:val="20"/>
          <w:szCs w:val="20"/>
        </w:rPr>
      </w:pPr>
      <w:r w:rsidRPr="008E3A84">
        <w:rPr>
          <w:sz w:val="20"/>
          <w:szCs w:val="20"/>
        </w:rPr>
        <w:t xml:space="preserve">к Указанию Приднестровского республиканского банка от __ ________ 2019 года </w:t>
      </w:r>
      <w:r w:rsidRPr="008E3A84">
        <w:rPr>
          <w:sz w:val="20"/>
          <w:szCs w:val="20"/>
          <w:lang w:val="en-US"/>
        </w:rPr>
        <w:t>N</w:t>
      </w:r>
      <w:r w:rsidRPr="008E3A84">
        <w:rPr>
          <w:sz w:val="20"/>
          <w:szCs w:val="20"/>
        </w:rPr>
        <w:t xml:space="preserve"> _____-У</w:t>
      </w:r>
    </w:p>
    <w:p w:rsidR="00765765" w:rsidRPr="008E3A84" w:rsidRDefault="00765765" w:rsidP="00765765">
      <w:pPr>
        <w:keepNext/>
        <w:keepLines/>
        <w:tabs>
          <w:tab w:val="left" w:pos="5220"/>
        </w:tabs>
        <w:ind w:left="5103"/>
        <w:rPr>
          <w:sz w:val="20"/>
          <w:szCs w:val="20"/>
        </w:rPr>
      </w:pPr>
      <w:r w:rsidRPr="008E3A84">
        <w:rPr>
          <w:sz w:val="20"/>
          <w:szCs w:val="20"/>
        </w:rPr>
        <w:t xml:space="preserve">«О внесении изменений и дополнений </w:t>
      </w:r>
      <w:r w:rsidRPr="008E3A84">
        <w:rPr>
          <w:sz w:val="20"/>
          <w:szCs w:val="20"/>
        </w:rPr>
        <w:br/>
        <w:t>в Инструкцию Приднестровского республиканского банка от 26 марта 2008 года N 24-И «О порядке представления отчетности для составления платежного баланса Приднестровской Молдавской Республики»</w:t>
      </w:r>
    </w:p>
    <w:p w:rsidR="00765765" w:rsidRPr="008E3A84" w:rsidRDefault="00765765" w:rsidP="00765765">
      <w:pPr>
        <w:widowControl w:val="0"/>
        <w:tabs>
          <w:tab w:val="left" w:pos="5220"/>
        </w:tabs>
        <w:ind w:left="5103"/>
        <w:rPr>
          <w:snapToGrid w:val="0"/>
          <w:sz w:val="16"/>
          <w:szCs w:val="16"/>
        </w:rPr>
      </w:pPr>
    </w:p>
    <w:p w:rsidR="00765765" w:rsidRPr="008E3A84" w:rsidRDefault="00D9313D" w:rsidP="00765765">
      <w:pPr>
        <w:tabs>
          <w:tab w:val="left" w:pos="5220"/>
        </w:tabs>
        <w:ind w:left="5103"/>
        <w:rPr>
          <w:sz w:val="20"/>
          <w:szCs w:val="20"/>
        </w:rPr>
      </w:pPr>
      <w:r w:rsidRPr="008E3A84">
        <w:rPr>
          <w:sz w:val="20"/>
          <w:szCs w:val="20"/>
        </w:rPr>
        <w:t xml:space="preserve">Приложение N </w:t>
      </w:r>
      <w:r w:rsidR="00B12720" w:rsidRPr="008E3A84">
        <w:rPr>
          <w:sz w:val="20"/>
          <w:szCs w:val="20"/>
        </w:rPr>
        <w:t>3</w:t>
      </w:r>
    </w:p>
    <w:p w:rsidR="00765765" w:rsidRPr="008E3A84" w:rsidRDefault="00765765" w:rsidP="00765765">
      <w:pPr>
        <w:tabs>
          <w:tab w:val="left" w:pos="5220"/>
        </w:tabs>
        <w:ind w:left="5103"/>
        <w:rPr>
          <w:sz w:val="20"/>
          <w:szCs w:val="20"/>
        </w:rPr>
      </w:pPr>
      <w:r w:rsidRPr="008E3A84">
        <w:rPr>
          <w:sz w:val="20"/>
          <w:szCs w:val="20"/>
        </w:rPr>
        <w:t>к Инструкции от 26 марта 2008 года N 24-И</w:t>
      </w:r>
      <w:r w:rsidRPr="008E3A84">
        <w:rPr>
          <w:sz w:val="20"/>
          <w:szCs w:val="20"/>
        </w:rPr>
        <w:br/>
        <w:t xml:space="preserve">«О порядке представления отчетности для составления платежного баланса Приднестровской Молдавской Республики» </w:t>
      </w:r>
    </w:p>
    <w:p w:rsidR="0032197B" w:rsidRPr="008E3A84" w:rsidRDefault="0032197B" w:rsidP="0032197B">
      <w:pPr>
        <w:jc w:val="center"/>
        <w:rPr>
          <w:sz w:val="18"/>
          <w:szCs w:val="18"/>
        </w:rPr>
      </w:pPr>
    </w:p>
    <w:p w:rsidR="0032197B" w:rsidRPr="008E3A84" w:rsidRDefault="0032197B" w:rsidP="0032197B">
      <w:pPr>
        <w:jc w:val="center"/>
        <w:rPr>
          <w:b/>
          <w:sz w:val="22"/>
          <w:szCs w:val="22"/>
        </w:rPr>
      </w:pPr>
      <w:r w:rsidRPr="008E3A84">
        <w:rPr>
          <w:b/>
          <w:sz w:val="22"/>
          <w:szCs w:val="22"/>
        </w:rPr>
        <w:t xml:space="preserve">Структура форматного электронного документа Отчета 3-ПБ </w:t>
      </w:r>
    </w:p>
    <w:p w:rsidR="0032197B" w:rsidRPr="008E3A84" w:rsidRDefault="0032197B" w:rsidP="0032197B">
      <w:pPr>
        <w:jc w:val="center"/>
        <w:rPr>
          <w:b/>
          <w:sz w:val="22"/>
          <w:szCs w:val="22"/>
        </w:rPr>
      </w:pPr>
      <w:r w:rsidRPr="008E3A84">
        <w:rPr>
          <w:b/>
          <w:sz w:val="22"/>
          <w:szCs w:val="22"/>
        </w:rPr>
        <w:t>«Об операциях по счетам хозяйствующих субъектов, открытым в кредитных организациях за пределами Приднестровской Молдавской Республики»</w:t>
      </w:r>
    </w:p>
    <w:tbl>
      <w:tblPr>
        <w:tblW w:w="10143" w:type="dxa"/>
        <w:tblLook w:val="01E0"/>
      </w:tblPr>
      <w:tblGrid>
        <w:gridCol w:w="2943"/>
        <w:gridCol w:w="7200"/>
      </w:tblGrid>
      <w:tr w:rsidR="007327A2" w:rsidRPr="008E3A84" w:rsidTr="004204DC">
        <w:tc>
          <w:tcPr>
            <w:tcW w:w="2943" w:type="dxa"/>
          </w:tcPr>
          <w:p w:rsidR="00BC127B" w:rsidRPr="007576B4" w:rsidRDefault="00BC127B" w:rsidP="004204DC">
            <w:pPr>
              <w:rPr>
                <w:sz w:val="14"/>
                <w:szCs w:val="14"/>
              </w:rPr>
            </w:pPr>
          </w:p>
          <w:p w:rsidR="0032197B" w:rsidRPr="007576B4" w:rsidRDefault="0032197B" w:rsidP="004204DC">
            <w:r w:rsidRPr="007576B4">
              <w:rPr>
                <w:sz w:val="22"/>
                <w:szCs w:val="22"/>
              </w:rPr>
              <w:t>Периодичность отч</w:t>
            </w:r>
            <w:r w:rsidR="00FA2B54" w:rsidRPr="007576B4">
              <w:rPr>
                <w:sz w:val="22"/>
                <w:szCs w:val="22"/>
              </w:rPr>
              <w:t>е</w:t>
            </w:r>
            <w:r w:rsidRPr="007576B4">
              <w:rPr>
                <w:sz w:val="22"/>
                <w:szCs w:val="22"/>
              </w:rPr>
              <w:t>тности:</w:t>
            </w:r>
          </w:p>
        </w:tc>
        <w:tc>
          <w:tcPr>
            <w:tcW w:w="7200" w:type="dxa"/>
          </w:tcPr>
          <w:p w:rsidR="00BC127B" w:rsidRPr="007576B4" w:rsidRDefault="00BC127B" w:rsidP="004204DC">
            <w:pPr>
              <w:ind w:right="288"/>
              <w:rPr>
                <w:sz w:val="14"/>
                <w:szCs w:val="14"/>
              </w:rPr>
            </w:pPr>
          </w:p>
          <w:p w:rsidR="0032197B" w:rsidRPr="007576B4" w:rsidRDefault="0032197B" w:rsidP="004204DC">
            <w:pPr>
              <w:ind w:right="288"/>
            </w:pPr>
            <w:r w:rsidRPr="007576B4">
              <w:rPr>
                <w:sz w:val="22"/>
                <w:szCs w:val="22"/>
              </w:rPr>
              <w:t>ежемесячная</w:t>
            </w:r>
          </w:p>
        </w:tc>
      </w:tr>
    </w:tbl>
    <w:tbl>
      <w:tblPr>
        <w:tblpPr w:leftFromText="180" w:rightFromText="180" w:vertAnchor="text" w:horzAnchor="margin" w:tblpY="1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9284"/>
      </w:tblGrid>
      <w:tr w:rsidR="007327A2" w:rsidRPr="008E3A84" w:rsidTr="0032197B">
        <w:trPr>
          <w:trHeight w:val="255"/>
        </w:trPr>
        <w:tc>
          <w:tcPr>
            <w:tcW w:w="747" w:type="dxa"/>
            <w:shd w:val="clear" w:color="auto" w:fill="E6E6E6"/>
          </w:tcPr>
          <w:p w:rsidR="0032197B" w:rsidRPr="008E3A84" w:rsidRDefault="0032197B" w:rsidP="004204DC">
            <w:pPr>
              <w:jc w:val="center"/>
            </w:pPr>
            <w:r w:rsidRPr="008E3A84">
              <w:rPr>
                <w:sz w:val="22"/>
                <w:szCs w:val="22"/>
                <w:lang w:val="en-US"/>
              </w:rPr>
              <w:t>N</w:t>
            </w:r>
            <w:r w:rsidRPr="008E3A84">
              <w:rPr>
                <w:sz w:val="22"/>
                <w:szCs w:val="22"/>
              </w:rPr>
              <w:t xml:space="preserve"> п.п.</w:t>
            </w:r>
          </w:p>
        </w:tc>
        <w:tc>
          <w:tcPr>
            <w:tcW w:w="9284" w:type="dxa"/>
            <w:shd w:val="clear" w:color="auto" w:fill="E6E6E6"/>
          </w:tcPr>
          <w:p w:rsidR="0032197B" w:rsidRPr="008E3A84" w:rsidRDefault="0032197B" w:rsidP="004204DC">
            <w:r w:rsidRPr="008E3A84">
              <w:rPr>
                <w:sz w:val="22"/>
                <w:szCs w:val="22"/>
              </w:rPr>
              <w:t>Наименование поля</w:t>
            </w:r>
          </w:p>
        </w:tc>
      </w:tr>
      <w:tr w:rsidR="007327A2" w:rsidRPr="008E3A84" w:rsidTr="0032197B">
        <w:trPr>
          <w:trHeight w:val="259"/>
        </w:trPr>
        <w:tc>
          <w:tcPr>
            <w:tcW w:w="747" w:type="dxa"/>
            <w:vAlign w:val="center"/>
          </w:tcPr>
          <w:p w:rsidR="0032197B" w:rsidRPr="008E3A84" w:rsidRDefault="0032197B" w:rsidP="004204DC">
            <w:pPr>
              <w:jc w:val="center"/>
            </w:pPr>
            <w:r w:rsidRPr="008E3A84">
              <w:rPr>
                <w:sz w:val="22"/>
                <w:szCs w:val="22"/>
              </w:rPr>
              <w:t>1</w:t>
            </w:r>
          </w:p>
        </w:tc>
        <w:tc>
          <w:tcPr>
            <w:tcW w:w="9284" w:type="dxa"/>
            <w:vAlign w:val="center"/>
          </w:tcPr>
          <w:p w:rsidR="0032197B" w:rsidRPr="008E3A84" w:rsidRDefault="0032197B" w:rsidP="004204DC">
            <w:r w:rsidRPr="008E3A84">
              <w:rPr>
                <w:sz w:val="22"/>
                <w:szCs w:val="22"/>
              </w:rPr>
              <w:t>Отч</w:t>
            </w:r>
            <w:r w:rsidR="00FA2B54" w:rsidRPr="008E3A84">
              <w:rPr>
                <w:sz w:val="22"/>
                <w:szCs w:val="22"/>
              </w:rPr>
              <w:t>е</w:t>
            </w:r>
            <w:r w:rsidRPr="008E3A84">
              <w:rPr>
                <w:sz w:val="22"/>
                <w:szCs w:val="22"/>
              </w:rPr>
              <w:t>тный год (в формате гггг)</w:t>
            </w:r>
          </w:p>
        </w:tc>
      </w:tr>
      <w:tr w:rsidR="007327A2" w:rsidRPr="008E3A84" w:rsidTr="0032197B">
        <w:trPr>
          <w:trHeight w:val="259"/>
        </w:trPr>
        <w:tc>
          <w:tcPr>
            <w:tcW w:w="747" w:type="dxa"/>
            <w:vAlign w:val="center"/>
          </w:tcPr>
          <w:p w:rsidR="0032197B" w:rsidRPr="008E3A84" w:rsidRDefault="0032197B" w:rsidP="004204DC">
            <w:pPr>
              <w:jc w:val="center"/>
            </w:pPr>
            <w:r w:rsidRPr="008E3A84">
              <w:rPr>
                <w:sz w:val="22"/>
                <w:szCs w:val="22"/>
              </w:rPr>
              <w:t>2</w:t>
            </w:r>
          </w:p>
        </w:tc>
        <w:tc>
          <w:tcPr>
            <w:tcW w:w="9284" w:type="dxa"/>
            <w:vAlign w:val="center"/>
          </w:tcPr>
          <w:p w:rsidR="0032197B" w:rsidRPr="008E3A84" w:rsidRDefault="0032197B" w:rsidP="004204DC">
            <w:r w:rsidRPr="008E3A84">
              <w:rPr>
                <w:sz w:val="22"/>
                <w:szCs w:val="22"/>
              </w:rPr>
              <w:t>Отч</w:t>
            </w:r>
            <w:r w:rsidR="00FA2B54" w:rsidRPr="008E3A84">
              <w:rPr>
                <w:sz w:val="22"/>
                <w:szCs w:val="22"/>
              </w:rPr>
              <w:t>е</w:t>
            </w:r>
            <w:r w:rsidRPr="008E3A84">
              <w:rPr>
                <w:sz w:val="22"/>
                <w:szCs w:val="22"/>
              </w:rPr>
              <w:t>тный месяц (в формате мм)</w:t>
            </w:r>
          </w:p>
        </w:tc>
      </w:tr>
      <w:tr w:rsidR="007327A2" w:rsidRPr="008E3A84" w:rsidTr="0032197B">
        <w:trPr>
          <w:trHeight w:val="259"/>
        </w:trPr>
        <w:tc>
          <w:tcPr>
            <w:tcW w:w="747" w:type="dxa"/>
            <w:vAlign w:val="center"/>
          </w:tcPr>
          <w:p w:rsidR="0032197B" w:rsidRPr="008E3A84" w:rsidRDefault="0032197B" w:rsidP="004204DC">
            <w:pPr>
              <w:jc w:val="center"/>
            </w:pPr>
            <w:r w:rsidRPr="008E3A84">
              <w:rPr>
                <w:sz w:val="22"/>
                <w:szCs w:val="22"/>
              </w:rPr>
              <w:t>3</w:t>
            </w:r>
          </w:p>
        </w:tc>
        <w:tc>
          <w:tcPr>
            <w:tcW w:w="9284" w:type="dxa"/>
            <w:vAlign w:val="center"/>
          </w:tcPr>
          <w:p w:rsidR="0032197B" w:rsidRPr="008E3A84" w:rsidRDefault="0032197B" w:rsidP="004204DC">
            <w:r w:rsidRPr="008E3A84">
              <w:rPr>
                <w:sz w:val="22"/>
                <w:szCs w:val="22"/>
              </w:rPr>
              <w:t>КУБ филиала обслуживающего банка ПМР</w:t>
            </w:r>
          </w:p>
        </w:tc>
      </w:tr>
      <w:tr w:rsidR="007327A2" w:rsidRPr="008E3A84" w:rsidTr="0032197B">
        <w:trPr>
          <w:trHeight w:val="259"/>
        </w:trPr>
        <w:tc>
          <w:tcPr>
            <w:tcW w:w="747" w:type="dxa"/>
            <w:vAlign w:val="center"/>
          </w:tcPr>
          <w:p w:rsidR="0032197B" w:rsidRPr="008E3A84" w:rsidRDefault="0032197B" w:rsidP="004204DC">
            <w:pPr>
              <w:jc w:val="center"/>
            </w:pPr>
            <w:r w:rsidRPr="008E3A84">
              <w:rPr>
                <w:sz w:val="22"/>
                <w:szCs w:val="22"/>
              </w:rPr>
              <w:t>4</w:t>
            </w:r>
          </w:p>
        </w:tc>
        <w:tc>
          <w:tcPr>
            <w:tcW w:w="9284" w:type="dxa"/>
            <w:vAlign w:val="center"/>
          </w:tcPr>
          <w:p w:rsidR="0032197B" w:rsidRPr="008E3A84" w:rsidRDefault="0032197B" w:rsidP="006772E2">
            <w:pPr>
              <w:jc w:val="both"/>
            </w:pPr>
            <w:r w:rsidRPr="008E3A84">
              <w:rPr>
                <w:sz w:val="22"/>
                <w:szCs w:val="22"/>
              </w:rPr>
              <w:t xml:space="preserve">Идентификационный номер субъекта хозяйственной деятельности, присвоенный Приднестровским республиканским банком в соответствии с Инструкцией ПРБ </w:t>
            </w:r>
            <w:r w:rsidRPr="008E3A84">
              <w:rPr>
                <w:sz w:val="22"/>
                <w:szCs w:val="22"/>
              </w:rPr>
              <w:br/>
              <w:t>от 11</w:t>
            </w:r>
            <w:r w:rsidR="00D23879" w:rsidRPr="008E3A84">
              <w:rPr>
                <w:sz w:val="22"/>
                <w:szCs w:val="22"/>
              </w:rPr>
              <w:t xml:space="preserve"> июня </w:t>
            </w:r>
            <w:r w:rsidRPr="008E3A84">
              <w:rPr>
                <w:sz w:val="22"/>
                <w:szCs w:val="22"/>
              </w:rPr>
              <w:t xml:space="preserve">2018 </w:t>
            </w:r>
            <w:r w:rsidR="00A918C4" w:rsidRPr="008E3A84">
              <w:rPr>
                <w:sz w:val="22"/>
                <w:szCs w:val="22"/>
              </w:rPr>
              <w:t>года</w:t>
            </w:r>
            <w:r w:rsidRPr="008E3A84">
              <w:rPr>
                <w:sz w:val="22"/>
                <w:szCs w:val="22"/>
              </w:rPr>
              <w:t xml:space="preserve">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w:t>
            </w:r>
            <w:r w:rsidR="00A918C4" w:rsidRPr="008E3A84">
              <w:rPr>
                <w:sz w:val="22"/>
                <w:szCs w:val="22"/>
              </w:rPr>
              <w:t xml:space="preserve"> (Регистрационный </w:t>
            </w:r>
            <w:r w:rsidR="00A918C4" w:rsidRPr="008E3A84">
              <w:rPr>
                <w:sz w:val="22"/>
                <w:szCs w:val="22"/>
                <w:lang w:val="en-US"/>
              </w:rPr>
              <w:t>N</w:t>
            </w:r>
            <w:r w:rsidR="00A918C4" w:rsidRPr="008E3A84">
              <w:rPr>
                <w:sz w:val="22"/>
                <w:szCs w:val="22"/>
              </w:rPr>
              <w:t xml:space="preserve"> 8340 от 13 июля 2018 года) (САЗ 18-28)</w:t>
            </w:r>
          </w:p>
        </w:tc>
      </w:tr>
      <w:tr w:rsidR="007327A2" w:rsidRPr="008E3A84" w:rsidTr="0032197B">
        <w:trPr>
          <w:trHeight w:val="259"/>
        </w:trPr>
        <w:tc>
          <w:tcPr>
            <w:tcW w:w="747" w:type="dxa"/>
            <w:vAlign w:val="center"/>
          </w:tcPr>
          <w:p w:rsidR="009817DC" w:rsidRPr="008E3A84" w:rsidRDefault="000A5DB1" w:rsidP="004204DC">
            <w:pPr>
              <w:jc w:val="center"/>
            </w:pPr>
            <w:r w:rsidRPr="008E3A84">
              <w:rPr>
                <w:sz w:val="22"/>
                <w:szCs w:val="22"/>
              </w:rPr>
              <w:t>5</w:t>
            </w:r>
          </w:p>
        </w:tc>
        <w:tc>
          <w:tcPr>
            <w:tcW w:w="9284" w:type="dxa"/>
            <w:vAlign w:val="center"/>
          </w:tcPr>
          <w:p w:rsidR="009817DC" w:rsidRPr="008E3A84" w:rsidRDefault="009817DC" w:rsidP="004204DC">
            <w:r w:rsidRPr="008E3A84">
              <w:rPr>
                <w:sz w:val="22"/>
                <w:szCs w:val="22"/>
              </w:rPr>
              <w:t>Наименование иностранного банка, в котором открыт сч</w:t>
            </w:r>
            <w:r w:rsidR="00FA2B54" w:rsidRPr="008E3A84">
              <w:rPr>
                <w:sz w:val="22"/>
                <w:szCs w:val="22"/>
              </w:rPr>
              <w:t>е</w:t>
            </w:r>
            <w:r w:rsidRPr="008E3A84">
              <w:rPr>
                <w:sz w:val="22"/>
                <w:szCs w:val="22"/>
              </w:rPr>
              <w:t>т</w:t>
            </w:r>
          </w:p>
        </w:tc>
      </w:tr>
      <w:tr w:rsidR="007327A2" w:rsidRPr="008E3A84" w:rsidTr="0032197B">
        <w:trPr>
          <w:trHeight w:val="259"/>
        </w:trPr>
        <w:tc>
          <w:tcPr>
            <w:tcW w:w="747" w:type="dxa"/>
            <w:vAlign w:val="center"/>
          </w:tcPr>
          <w:p w:rsidR="009817DC" w:rsidRPr="008E3A84" w:rsidRDefault="000A5DB1" w:rsidP="004204DC">
            <w:pPr>
              <w:jc w:val="center"/>
            </w:pPr>
            <w:r w:rsidRPr="008E3A84">
              <w:rPr>
                <w:sz w:val="22"/>
                <w:szCs w:val="22"/>
              </w:rPr>
              <w:t>6</w:t>
            </w:r>
          </w:p>
        </w:tc>
        <w:tc>
          <w:tcPr>
            <w:tcW w:w="9284" w:type="dxa"/>
            <w:vAlign w:val="center"/>
          </w:tcPr>
          <w:p w:rsidR="009817DC" w:rsidRPr="008E3A84" w:rsidRDefault="009817DC" w:rsidP="004204DC">
            <w:r w:rsidRPr="008E3A84">
              <w:rPr>
                <w:sz w:val="22"/>
                <w:szCs w:val="22"/>
              </w:rPr>
              <w:t>Код страны местонахождения банка-нерезидента, в котором открыт сч</w:t>
            </w:r>
            <w:r w:rsidR="00FA2B54" w:rsidRPr="008E3A84">
              <w:rPr>
                <w:sz w:val="22"/>
                <w:szCs w:val="22"/>
              </w:rPr>
              <w:t>е</w:t>
            </w:r>
            <w:r w:rsidRPr="008E3A84">
              <w:rPr>
                <w:sz w:val="22"/>
                <w:szCs w:val="22"/>
              </w:rPr>
              <w:t>т (заполняется в соответствии с кодами страны (территории) Классификатора стран мира (территорий))</w:t>
            </w:r>
          </w:p>
        </w:tc>
      </w:tr>
      <w:tr w:rsidR="007327A2" w:rsidRPr="008E3A84" w:rsidTr="0032197B">
        <w:trPr>
          <w:trHeight w:val="259"/>
        </w:trPr>
        <w:tc>
          <w:tcPr>
            <w:tcW w:w="747" w:type="dxa"/>
            <w:vAlign w:val="center"/>
          </w:tcPr>
          <w:p w:rsidR="009817DC" w:rsidRPr="008E3A84" w:rsidRDefault="000A5DB1" w:rsidP="004204DC">
            <w:pPr>
              <w:jc w:val="center"/>
            </w:pPr>
            <w:r w:rsidRPr="008E3A84">
              <w:rPr>
                <w:sz w:val="22"/>
                <w:szCs w:val="22"/>
              </w:rPr>
              <w:t>7</w:t>
            </w:r>
          </w:p>
        </w:tc>
        <w:tc>
          <w:tcPr>
            <w:tcW w:w="9284" w:type="dxa"/>
            <w:vAlign w:val="center"/>
          </w:tcPr>
          <w:p w:rsidR="009817DC" w:rsidRPr="008E3A84" w:rsidRDefault="009817DC" w:rsidP="004204DC">
            <w:r w:rsidRPr="008E3A84">
              <w:rPr>
                <w:sz w:val="22"/>
                <w:szCs w:val="22"/>
              </w:rPr>
              <w:t>Код валюты сч</w:t>
            </w:r>
            <w:r w:rsidR="00FA2B54" w:rsidRPr="008E3A84">
              <w:rPr>
                <w:sz w:val="22"/>
                <w:szCs w:val="22"/>
              </w:rPr>
              <w:t>е</w:t>
            </w:r>
            <w:r w:rsidRPr="008E3A84">
              <w:rPr>
                <w:sz w:val="22"/>
                <w:szCs w:val="22"/>
              </w:rPr>
              <w:t>та (заполняется в соответствии с Классификатором валют)</w:t>
            </w:r>
          </w:p>
        </w:tc>
      </w:tr>
      <w:tr w:rsidR="007327A2" w:rsidRPr="008E3A84" w:rsidTr="0032197B">
        <w:trPr>
          <w:trHeight w:val="259"/>
        </w:trPr>
        <w:tc>
          <w:tcPr>
            <w:tcW w:w="747" w:type="dxa"/>
            <w:vAlign w:val="center"/>
          </w:tcPr>
          <w:p w:rsidR="009817DC" w:rsidRPr="008E3A84" w:rsidRDefault="000A5DB1" w:rsidP="004204DC">
            <w:pPr>
              <w:jc w:val="center"/>
            </w:pPr>
            <w:r w:rsidRPr="008E3A84">
              <w:rPr>
                <w:sz w:val="22"/>
                <w:szCs w:val="22"/>
              </w:rPr>
              <w:t>8</w:t>
            </w:r>
          </w:p>
        </w:tc>
        <w:tc>
          <w:tcPr>
            <w:tcW w:w="9284" w:type="dxa"/>
            <w:vAlign w:val="center"/>
          </w:tcPr>
          <w:p w:rsidR="009817DC" w:rsidRPr="008E3A84" w:rsidRDefault="009817DC" w:rsidP="004204DC">
            <w:r w:rsidRPr="008E3A84">
              <w:rPr>
                <w:sz w:val="22"/>
                <w:szCs w:val="22"/>
              </w:rPr>
              <w:t>Код раздела (заполняется в соответствии с таблицей 1)</w:t>
            </w:r>
          </w:p>
        </w:tc>
      </w:tr>
      <w:tr w:rsidR="007327A2" w:rsidRPr="008E3A84" w:rsidTr="0032197B">
        <w:trPr>
          <w:trHeight w:val="259"/>
        </w:trPr>
        <w:tc>
          <w:tcPr>
            <w:tcW w:w="747" w:type="dxa"/>
            <w:vAlign w:val="center"/>
          </w:tcPr>
          <w:p w:rsidR="009817DC" w:rsidRPr="008E3A84" w:rsidRDefault="000A5DB1" w:rsidP="004204DC">
            <w:pPr>
              <w:jc w:val="center"/>
            </w:pPr>
            <w:r w:rsidRPr="008E3A84">
              <w:rPr>
                <w:sz w:val="22"/>
                <w:szCs w:val="22"/>
              </w:rPr>
              <w:t>9</w:t>
            </w:r>
          </w:p>
        </w:tc>
        <w:tc>
          <w:tcPr>
            <w:tcW w:w="9284" w:type="dxa"/>
            <w:vAlign w:val="center"/>
          </w:tcPr>
          <w:p w:rsidR="009817DC" w:rsidRPr="008E3A84" w:rsidRDefault="009817DC" w:rsidP="004204DC">
            <w:r w:rsidRPr="008E3A84">
              <w:rPr>
                <w:sz w:val="22"/>
                <w:szCs w:val="22"/>
              </w:rPr>
              <w:t>Код показателя (заполняется в соответствии с таблицей 2)</w:t>
            </w:r>
          </w:p>
        </w:tc>
      </w:tr>
      <w:tr w:rsidR="007327A2" w:rsidRPr="008E3A84" w:rsidTr="004204DC">
        <w:trPr>
          <w:trHeight w:val="259"/>
        </w:trPr>
        <w:tc>
          <w:tcPr>
            <w:tcW w:w="747" w:type="dxa"/>
            <w:vAlign w:val="center"/>
          </w:tcPr>
          <w:p w:rsidR="009817DC" w:rsidRPr="008E3A84" w:rsidRDefault="000A5DB1" w:rsidP="004204DC">
            <w:pPr>
              <w:jc w:val="center"/>
            </w:pPr>
            <w:r w:rsidRPr="008E3A84">
              <w:rPr>
                <w:sz w:val="22"/>
                <w:szCs w:val="22"/>
              </w:rPr>
              <w:t>10</w:t>
            </w:r>
          </w:p>
        </w:tc>
        <w:tc>
          <w:tcPr>
            <w:tcW w:w="9284" w:type="dxa"/>
          </w:tcPr>
          <w:p w:rsidR="009817DC" w:rsidRPr="008E3A84" w:rsidRDefault="009817DC" w:rsidP="004204DC">
            <w:r w:rsidRPr="008E3A84">
              <w:rPr>
                <w:sz w:val="22"/>
                <w:szCs w:val="22"/>
              </w:rPr>
              <w:t>Код страны направления платежа (заполняется в соответствии с кодами страны (территории) Классификатора стран мира (территорий))</w:t>
            </w:r>
          </w:p>
        </w:tc>
      </w:tr>
      <w:tr w:rsidR="007327A2" w:rsidRPr="008E3A84" w:rsidTr="0032197B">
        <w:trPr>
          <w:trHeight w:val="259"/>
        </w:trPr>
        <w:tc>
          <w:tcPr>
            <w:tcW w:w="747" w:type="dxa"/>
            <w:vAlign w:val="center"/>
          </w:tcPr>
          <w:p w:rsidR="009817DC" w:rsidRPr="008E3A84" w:rsidRDefault="000A5DB1" w:rsidP="004204DC">
            <w:pPr>
              <w:jc w:val="center"/>
            </w:pPr>
            <w:r w:rsidRPr="008E3A84">
              <w:rPr>
                <w:sz w:val="22"/>
                <w:szCs w:val="22"/>
              </w:rPr>
              <w:t>11</w:t>
            </w:r>
          </w:p>
        </w:tc>
        <w:tc>
          <w:tcPr>
            <w:tcW w:w="9284" w:type="dxa"/>
            <w:vAlign w:val="center"/>
          </w:tcPr>
          <w:p w:rsidR="009817DC" w:rsidRPr="008E3A84" w:rsidRDefault="009817DC" w:rsidP="004204DC">
            <w:r w:rsidRPr="008E3A84">
              <w:rPr>
                <w:sz w:val="22"/>
                <w:szCs w:val="22"/>
              </w:rPr>
              <w:t>Остаток валютных средств по сч</w:t>
            </w:r>
            <w:r w:rsidR="00FA2B54" w:rsidRPr="008E3A84">
              <w:rPr>
                <w:sz w:val="22"/>
                <w:szCs w:val="22"/>
              </w:rPr>
              <w:t>е</w:t>
            </w:r>
            <w:r w:rsidRPr="008E3A84">
              <w:rPr>
                <w:sz w:val="22"/>
                <w:szCs w:val="22"/>
              </w:rPr>
              <w:t>ту на начало отч</w:t>
            </w:r>
            <w:r w:rsidR="00FA2B54" w:rsidRPr="008E3A84">
              <w:rPr>
                <w:sz w:val="22"/>
                <w:szCs w:val="22"/>
              </w:rPr>
              <w:t>е</w:t>
            </w:r>
            <w:r w:rsidRPr="008E3A84">
              <w:rPr>
                <w:sz w:val="22"/>
                <w:szCs w:val="22"/>
              </w:rPr>
              <w:t>тного месяца – в формате 0.00</w:t>
            </w:r>
          </w:p>
        </w:tc>
      </w:tr>
      <w:tr w:rsidR="007327A2" w:rsidRPr="008E3A84" w:rsidTr="004204DC">
        <w:trPr>
          <w:trHeight w:val="259"/>
        </w:trPr>
        <w:tc>
          <w:tcPr>
            <w:tcW w:w="747" w:type="dxa"/>
            <w:tcBorders>
              <w:bottom w:val="single" w:sz="4" w:space="0" w:color="auto"/>
            </w:tcBorders>
            <w:vAlign w:val="center"/>
          </w:tcPr>
          <w:p w:rsidR="009817DC" w:rsidRPr="008E3A84" w:rsidRDefault="000A5DB1" w:rsidP="004204DC">
            <w:pPr>
              <w:jc w:val="center"/>
            </w:pPr>
            <w:r w:rsidRPr="008E3A84">
              <w:rPr>
                <w:sz w:val="22"/>
                <w:szCs w:val="22"/>
              </w:rPr>
              <w:t>12</w:t>
            </w:r>
          </w:p>
        </w:tc>
        <w:tc>
          <w:tcPr>
            <w:tcW w:w="9284" w:type="dxa"/>
            <w:tcBorders>
              <w:bottom w:val="single" w:sz="4" w:space="0" w:color="auto"/>
            </w:tcBorders>
            <w:vAlign w:val="center"/>
          </w:tcPr>
          <w:p w:rsidR="009817DC" w:rsidRPr="008E3A84" w:rsidRDefault="009817DC" w:rsidP="004204DC">
            <w:r w:rsidRPr="008E3A84">
              <w:rPr>
                <w:sz w:val="22"/>
                <w:szCs w:val="22"/>
              </w:rPr>
              <w:t>Поступило валютных средств на сч</w:t>
            </w:r>
            <w:r w:rsidR="00FA2B54" w:rsidRPr="008E3A84">
              <w:rPr>
                <w:sz w:val="22"/>
                <w:szCs w:val="22"/>
              </w:rPr>
              <w:t>е</w:t>
            </w:r>
            <w:r w:rsidRPr="008E3A84">
              <w:rPr>
                <w:sz w:val="22"/>
                <w:szCs w:val="22"/>
              </w:rPr>
              <w:t>т за отч</w:t>
            </w:r>
            <w:r w:rsidR="00FA2B54" w:rsidRPr="008E3A84">
              <w:rPr>
                <w:sz w:val="22"/>
                <w:szCs w:val="22"/>
              </w:rPr>
              <w:t>е</w:t>
            </w:r>
            <w:r w:rsidRPr="008E3A84">
              <w:rPr>
                <w:sz w:val="22"/>
                <w:szCs w:val="22"/>
              </w:rPr>
              <w:t>тный месяц – в формате 0.00</w:t>
            </w:r>
          </w:p>
        </w:tc>
      </w:tr>
      <w:tr w:rsidR="007327A2" w:rsidRPr="008E3A84" w:rsidTr="004204DC">
        <w:trPr>
          <w:trHeight w:val="259"/>
        </w:trPr>
        <w:tc>
          <w:tcPr>
            <w:tcW w:w="747" w:type="dxa"/>
            <w:tcBorders>
              <w:bottom w:val="single" w:sz="4" w:space="0" w:color="auto"/>
            </w:tcBorders>
            <w:vAlign w:val="center"/>
          </w:tcPr>
          <w:p w:rsidR="009817DC" w:rsidRPr="008E3A84" w:rsidRDefault="000A5DB1" w:rsidP="004204DC">
            <w:pPr>
              <w:jc w:val="center"/>
            </w:pPr>
            <w:r w:rsidRPr="008E3A84">
              <w:rPr>
                <w:sz w:val="22"/>
                <w:szCs w:val="22"/>
              </w:rPr>
              <w:t>13</w:t>
            </w:r>
          </w:p>
        </w:tc>
        <w:tc>
          <w:tcPr>
            <w:tcW w:w="9284" w:type="dxa"/>
            <w:tcBorders>
              <w:bottom w:val="single" w:sz="4" w:space="0" w:color="auto"/>
            </w:tcBorders>
            <w:vAlign w:val="center"/>
          </w:tcPr>
          <w:p w:rsidR="009817DC" w:rsidRPr="008E3A84" w:rsidRDefault="009817DC" w:rsidP="004204DC">
            <w:r w:rsidRPr="008E3A84">
              <w:rPr>
                <w:sz w:val="22"/>
                <w:szCs w:val="22"/>
              </w:rPr>
              <w:t>Списано валютных средств со сч</w:t>
            </w:r>
            <w:r w:rsidR="00FA2B54" w:rsidRPr="008E3A84">
              <w:rPr>
                <w:sz w:val="22"/>
                <w:szCs w:val="22"/>
              </w:rPr>
              <w:t>е</w:t>
            </w:r>
            <w:r w:rsidRPr="008E3A84">
              <w:rPr>
                <w:sz w:val="22"/>
                <w:szCs w:val="22"/>
              </w:rPr>
              <w:t>та за отч</w:t>
            </w:r>
            <w:r w:rsidR="00FA2B54" w:rsidRPr="008E3A84">
              <w:rPr>
                <w:sz w:val="22"/>
                <w:szCs w:val="22"/>
              </w:rPr>
              <w:t>е</w:t>
            </w:r>
            <w:r w:rsidRPr="008E3A84">
              <w:rPr>
                <w:sz w:val="22"/>
                <w:szCs w:val="22"/>
              </w:rPr>
              <w:t>тный месяц – в формате 0.00</w:t>
            </w:r>
          </w:p>
        </w:tc>
      </w:tr>
      <w:tr w:rsidR="007327A2" w:rsidRPr="008E3A84" w:rsidTr="0032197B">
        <w:trPr>
          <w:trHeight w:val="259"/>
        </w:trPr>
        <w:tc>
          <w:tcPr>
            <w:tcW w:w="747" w:type="dxa"/>
            <w:tcBorders>
              <w:bottom w:val="single" w:sz="4" w:space="0" w:color="auto"/>
            </w:tcBorders>
            <w:vAlign w:val="center"/>
          </w:tcPr>
          <w:p w:rsidR="009817DC" w:rsidRPr="008E3A84" w:rsidRDefault="000A5DB1" w:rsidP="004204DC">
            <w:pPr>
              <w:jc w:val="center"/>
            </w:pPr>
            <w:r w:rsidRPr="008E3A84">
              <w:rPr>
                <w:sz w:val="22"/>
                <w:szCs w:val="22"/>
              </w:rPr>
              <w:t>14</w:t>
            </w:r>
          </w:p>
        </w:tc>
        <w:tc>
          <w:tcPr>
            <w:tcW w:w="9284" w:type="dxa"/>
            <w:tcBorders>
              <w:bottom w:val="single" w:sz="4" w:space="0" w:color="auto"/>
            </w:tcBorders>
            <w:vAlign w:val="center"/>
          </w:tcPr>
          <w:p w:rsidR="009817DC" w:rsidRPr="008E3A84" w:rsidRDefault="009817DC" w:rsidP="004204DC">
            <w:r w:rsidRPr="008E3A84">
              <w:rPr>
                <w:sz w:val="22"/>
                <w:szCs w:val="22"/>
              </w:rPr>
              <w:t>Остаток валютных средств по сч</w:t>
            </w:r>
            <w:r w:rsidR="00FA2B54" w:rsidRPr="008E3A84">
              <w:rPr>
                <w:sz w:val="22"/>
                <w:szCs w:val="22"/>
              </w:rPr>
              <w:t>е</w:t>
            </w:r>
            <w:r w:rsidRPr="008E3A84">
              <w:rPr>
                <w:sz w:val="22"/>
                <w:szCs w:val="22"/>
              </w:rPr>
              <w:t>ту на конец отч</w:t>
            </w:r>
            <w:r w:rsidR="00FA2B54" w:rsidRPr="008E3A84">
              <w:rPr>
                <w:sz w:val="22"/>
                <w:szCs w:val="22"/>
              </w:rPr>
              <w:t>е</w:t>
            </w:r>
            <w:r w:rsidRPr="008E3A84">
              <w:rPr>
                <w:sz w:val="22"/>
                <w:szCs w:val="22"/>
              </w:rPr>
              <w:t>тного месяца – в формате 0.00</w:t>
            </w:r>
          </w:p>
        </w:tc>
      </w:tr>
      <w:tr w:rsidR="007327A2" w:rsidRPr="008E3A84" w:rsidTr="007B38D3">
        <w:trPr>
          <w:trHeight w:val="259"/>
        </w:trPr>
        <w:tc>
          <w:tcPr>
            <w:tcW w:w="747" w:type="dxa"/>
            <w:vAlign w:val="center"/>
          </w:tcPr>
          <w:p w:rsidR="009817DC" w:rsidRPr="008E3A84" w:rsidRDefault="000A5DB1" w:rsidP="004204DC">
            <w:pPr>
              <w:jc w:val="center"/>
            </w:pPr>
            <w:r w:rsidRPr="008E3A84">
              <w:rPr>
                <w:sz w:val="22"/>
                <w:szCs w:val="22"/>
              </w:rPr>
              <w:t>15</w:t>
            </w:r>
          </w:p>
        </w:tc>
        <w:tc>
          <w:tcPr>
            <w:tcW w:w="9284" w:type="dxa"/>
            <w:vAlign w:val="center"/>
          </w:tcPr>
          <w:p w:rsidR="009817DC" w:rsidRPr="008E3A84" w:rsidRDefault="009817DC" w:rsidP="004204DC">
            <w:r w:rsidRPr="008E3A84">
              <w:rPr>
                <w:sz w:val="22"/>
                <w:szCs w:val="22"/>
              </w:rPr>
              <w:t>Примечание (макс 255 символов)</w:t>
            </w:r>
          </w:p>
        </w:tc>
      </w:tr>
      <w:tr w:rsidR="007327A2" w:rsidRPr="008E3A84" w:rsidTr="0032197B">
        <w:trPr>
          <w:trHeight w:val="259"/>
        </w:trPr>
        <w:tc>
          <w:tcPr>
            <w:tcW w:w="747" w:type="dxa"/>
            <w:tcBorders>
              <w:bottom w:val="single" w:sz="4" w:space="0" w:color="auto"/>
            </w:tcBorders>
            <w:vAlign w:val="center"/>
          </w:tcPr>
          <w:p w:rsidR="007B38D3" w:rsidRPr="008E3A84" w:rsidRDefault="007B38D3" w:rsidP="004204DC">
            <w:pPr>
              <w:jc w:val="center"/>
            </w:pPr>
            <w:r w:rsidRPr="008E3A84">
              <w:rPr>
                <w:sz w:val="22"/>
                <w:szCs w:val="22"/>
              </w:rPr>
              <w:t>16</w:t>
            </w:r>
          </w:p>
        </w:tc>
        <w:tc>
          <w:tcPr>
            <w:tcW w:w="9284" w:type="dxa"/>
            <w:tcBorders>
              <w:bottom w:val="single" w:sz="4" w:space="0" w:color="auto"/>
            </w:tcBorders>
            <w:vAlign w:val="center"/>
          </w:tcPr>
          <w:p w:rsidR="007B38D3" w:rsidRPr="008E3A84" w:rsidRDefault="007B38D3" w:rsidP="004204DC">
            <w:r w:rsidRPr="008E3A84">
              <w:rPr>
                <w:sz w:val="22"/>
                <w:szCs w:val="22"/>
              </w:rPr>
              <w:t>Номер и дата сопроводительного письма, направленного</w:t>
            </w:r>
            <w:r w:rsidR="00BB5232" w:rsidRPr="008E3A84">
              <w:rPr>
                <w:sz w:val="22"/>
                <w:szCs w:val="22"/>
              </w:rPr>
              <w:t xml:space="preserve"> в ПРБ согласно пункту 7</w:t>
            </w:r>
            <w:r w:rsidRPr="008E3A84">
              <w:rPr>
                <w:sz w:val="22"/>
                <w:szCs w:val="22"/>
              </w:rPr>
              <w:t xml:space="preserve"> Порядка представления отчета</w:t>
            </w:r>
            <w:r w:rsidR="00BB5232" w:rsidRPr="008E3A84">
              <w:rPr>
                <w:sz w:val="22"/>
                <w:szCs w:val="22"/>
              </w:rPr>
              <w:t xml:space="preserve"> Приложения N 3</w:t>
            </w:r>
            <w:r w:rsidRPr="008E3A84">
              <w:rPr>
                <w:sz w:val="22"/>
                <w:szCs w:val="22"/>
              </w:rPr>
              <w:t xml:space="preserve"> к Инструкции</w:t>
            </w:r>
          </w:p>
        </w:tc>
      </w:tr>
    </w:tbl>
    <w:p w:rsidR="0032197B" w:rsidRPr="008E3A84" w:rsidRDefault="0032197B" w:rsidP="0032197B">
      <w:pPr>
        <w:pStyle w:val="a5"/>
        <w:rPr>
          <w:u w:val="single"/>
        </w:rPr>
      </w:pPr>
      <w:r w:rsidRPr="008E3A84">
        <w:rPr>
          <w:u w:val="single"/>
        </w:rPr>
        <w:t>Примечание:</w:t>
      </w:r>
    </w:p>
    <w:p w:rsidR="0032197B" w:rsidRPr="008E3A84" w:rsidRDefault="00E81DB8" w:rsidP="0032197B">
      <w:pPr>
        <w:pStyle w:val="a5"/>
        <w:numPr>
          <w:ilvl w:val="0"/>
          <w:numId w:val="32"/>
        </w:numPr>
        <w:tabs>
          <w:tab w:val="clear" w:pos="4677"/>
          <w:tab w:val="clear" w:pos="9355"/>
        </w:tabs>
        <w:ind w:left="360"/>
        <w:jc w:val="both"/>
        <w:rPr>
          <w:u w:val="single"/>
        </w:rPr>
      </w:pPr>
      <w:r w:rsidRPr="008E3A84">
        <w:t>поле 4 Отче</w:t>
      </w:r>
      <w:r w:rsidR="0032197B" w:rsidRPr="008E3A84">
        <w:t>та заполняют организации, которым присвоен идентификационный номер субъекта хозяйственной деятельности в соответствии с Инструкцией ПРБ от 11</w:t>
      </w:r>
      <w:r w:rsidR="00D23879" w:rsidRPr="008E3A84">
        <w:t xml:space="preserve"> июня </w:t>
      </w:r>
      <w:r w:rsidR="00A918C4" w:rsidRPr="008E3A84">
        <w:t>2018 года</w:t>
      </w:r>
      <w:r w:rsidR="0032197B" w:rsidRPr="008E3A84">
        <w:t xml:space="preserve">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w:t>
      </w:r>
      <w:r w:rsidR="00A918C4" w:rsidRPr="008E3A84">
        <w:t xml:space="preserve"> (Регистрационный </w:t>
      </w:r>
      <w:r w:rsidR="00A918C4" w:rsidRPr="008E3A84">
        <w:rPr>
          <w:lang w:val="en-US"/>
        </w:rPr>
        <w:t>N</w:t>
      </w:r>
      <w:r w:rsidR="00A918C4" w:rsidRPr="008E3A84">
        <w:t xml:space="preserve"> 8340 от 13 июля 2018 года) (САЗ 18-28)</w:t>
      </w:r>
      <w:r w:rsidR="0032197B" w:rsidRPr="008E3A84">
        <w:t xml:space="preserve">. </w:t>
      </w:r>
      <w:r w:rsidR="00A918C4" w:rsidRPr="008E3A84">
        <w:br/>
      </w:r>
      <w:r w:rsidR="0032197B" w:rsidRPr="008E3A84">
        <w:t>В иных случаях в данном поле Отч</w:t>
      </w:r>
      <w:r w:rsidR="00FA2B54" w:rsidRPr="008E3A84">
        <w:t>е</w:t>
      </w:r>
      <w:r w:rsidR="0032197B" w:rsidRPr="008E3A84">
        <w:t xml:space="preserve">та проставляется «0» (ноль); </w:t>
      </w:r>
    </w:p>
    <w:p w:rsidR="00E81DB8" w:rsidRPr="008E3A84" w:rsidRDefault="0032197B" w:rsidP="0032197B">
      <w:pPr>
        <w:pStyle w:val="a5"/>
        <w:numPr>
          <w:ilvl w:val="0"/>
          <w:numId w:val="32"/>
        </w:numPr>
        <w:tabs>
          <w:tab w:val="clear" w:pos="4677"/>
          <w:tab w:val="clear" w:pos="9355"/>
        </w:tabs>
        <w:ind w:left="360"/>
        <w:jc w:val="both"/>
        <w:rPr>
          <w:u w:val="single"/>
        </w:rPr>
      </w:pPr>
      <w:r w:rsidRPr="008E3A84">
        <w:t xml:space="preserve">поле </w:t>
      </w:r>
      <w:r w:rsidR="004A158E" w:rsidRPr="008E3A84">
        <w:t>15</w:t>
      </w:r>
      <w:r w:rsidR="00E81DB8" w:rsidRPr="008E3A84">
        <w:t xml:space="preserve"> Отче</w:t>
      </w:r>
      <w:r w:rsidRPr="008E3A84">
        <w:t xml:space="preserve">та заполняется при наличии данных по коду показателя 27 </w:t>
      </w:r>
      <w:r w:rsidR="007F0493" w:rsidRPr="008E3A84">
        <w:t>«</w:t>
      </w:r>
      <w:r w:rsidRPr="008E3A84">
        <w:t>Прочие операции, не отнес</w:t>
      </w:r>
      <w:r w:rsidR="00FA2B54" w:rsidRPr="008E3A84">
        <w:t>е</w:t>
      </w:r>
      <w:r w:rsidRPr="008E3A84">
        <w:t>нные ни к одному из вышеперечисленных кодов</w:t>
      </w:r>
      <w:r w:rsidR="007F0493" w:rsidRPr="008E3A84">
        <w:t>»</w:t>
      </w:r>
      <w:r w:rsidRPr="008E3A84">
        <w:t>. В данном поле Отч</w:t>
      </w:r>
      <w:r w:rsidR="00FA2B54" w:rsidRPr="008E3A84">
        <w:t>е</w:t>
      </w:r>
      <w:r w:rsidRPr="008E3A84">
        <w:t xml:space="preserve">та указывается вид </w:t>
      </w:r>
      <w:r w:rsidR="00DC5237" w:rsidRPr="008E3A84">
        <w:t>операции (расшифровка операции);</w:t>
      </w:r>
    </w:p>
    <w:p w:rsidR="00DC5237" w:rsidRPr="008E3A84" w:rsidRDefault="00AC48CF" w:rsidP="0032197B">
      <w:pPr>
        <w:pStyle w:val="a5"/>
        <w:numPr>
          <w:ilvl w:val="0"/>
          <w:numId w:val="32"/>
        </w:numPr>
        <w:tabs>
          <w:tab w:val="clear" w:pos="4677"/>
          <w:tab w:val="clear" w:pos="9355"/>
        </w:tabs>
        <w:ind w:left="360"/>
        <w:jc w:val="both"/>
        <w:rPr>
          <w:u w:val="single"/>
        </w:rPr>
      </w:pPr>
      <w:r w:rsidRPr="008E3A84">
        <w:t xml:space="preserve">в </w:t>
      </w:r>
      <w:r w:rsidR="00DC5237" w:rsidRPr="008E3A84">
        <w:t>поля 11, 12, 13, 14</w:t>
      </w:r>
      <w:r w:rsidRPr="008E3A84">
        <w:t xml:space="preserve"> в случае отсутствия данных проставляется «0» (ноль);</w:t>
      </w:r>
    </w:p>
    <w:p w:rsidR="0032197B" w:rsidRPr="008E3A84" w:rsidRDefault="00E81DB8" w:rsidP="0032197B">
      <w:pPr>
        <w:pStyle w:val="a5"/>
        <w:numPr>
          <w:ilvl w:val="0"/>
          <w:numId w:val="32"/>
        </w:numPr>
        <w:tabs>
          <w:tab w:val="clear" w:pos="4677"/>
          <w:tab w:val="clear" w:pos="9355"/>
        </w:tabs>
        <w:ind w:left="360"/>
        <w:jc w:val="both"/>
        <w:rPr>
          <w:u w:val="single"/>
        </w:rPr>
      </w:pPr>
      <w:r w:rsidRPr="008E3A84">
        <w:t>поле 16 Отчета в случае отсутствия данных не заполняется.</w:t>
      </w:r>
    </w:p>
    <w:p w:rsidR="002A7266" w:rsidRPr="008E3A84" w:rsidRDefault="002A7266" w:rsidP="002A7266">
      <w:pPr>
        <w:pStyle w:val="a5"/>
        <w:ind w:left="720"/>
        <w:jc w:val="right"/>
        <w:rPr>
          <w:sz w:val="22"/>
          <w:szCs w:val="22"/>
        </w:rPr>
      </w:pPr>
      <w:r w:rsidRPr="008E3A84">
        <w:rPr>
          <w:sz w:val="22"/>
          <w:szCs w:val="22"/>
        </w:rPr>
        <w:lastRenderedPageBreak/>
        <w:t>Таблица 1. Код раздела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9235"/>
      </w:tblGrid>
      <w:tr w:rsidR="007327A2" w:rsidRPr="008E3A84" w:rsidTr="00AB3FEA">
        <w:trPr>
          <w:trHeight w:val="312"/>
          <w:tblHeader/>
        </w:trPr>
        <w:tc>
          <w:tcPr>
            <w:tcW w:w="796" w:type="dxa"/>
            <w:tcBorders>
              <w:bottom w:val="single" w:sz="4" w:space="0" w:color="auto"/>
            </w:tcBorders>
            <w:shd w:val="clear" w:color="auto" w:fill="D9D9D9"/>
            <w:vAlign w:val="center"/>
          </w:tcPr>
          <w:p w:rsidR="002A7266" w:rsidRPr="008E3A84" w:rsidRDefault="002A7266" w:rsidP="004204DC">
            <w:pPr>
              <w:jc w:val="center"/>
            </w:pPr>
            <w:r w:rsidRPr="008E3A84">
              <w:rPr>
                <w:sz w:val="22"/>
                <w:szCs w:val="22"/>
              </w:rPr>
              <w:t>Код</w:t>
            </w:r>
          </w:p>
        </w:tc>
        <w:tc>
          <w:tcPr>
            <w:tcW w:w="9235" w:type="dxa"/>
            <w:tcBorders>
              <w:bottom w:val="single" w:sz="4" w:space="0" w:color="auto"/>
            </w:tcBorders>
            <w:shd w:val="clear" w:color="auto" w:fill="D9D9D9"/>
            <w:vAlign w:val="center"/>
          </w:tcPr>
          <w:p w:rsidR="002A7266" w:rsidRPr="008E3A84" w:rsidRDefault="002A7266" w:rsidP="004204DC">
            <w:r w:rsidRPr="008E3A84">
              <w:rPr>
                <w:sz w:val="22"/>
                <w:szCs w:val="22"/>
              </w:rPr>
              <w:t>Наименование раздела</w:t>
            </w:r>
          </w:p>
        </w:tc>
      </w:tr>
      <w:tr w:rsidR="007327A2" w:rsidRPr="008E3A84" w:rsidTr="00AB3FEA">
        <w:trPr>
          <w:trHeight w:val="312"/>
          <w:tblHeader/>
        </w:trPr>
        <w:tc>
          <w:tcPr>
            <w:tcW w:w="796" w:type="dxa"/>
            <w:vAlign w:val="center"/>
          </w:tcPr>
          <w:p w:rsidR="002A7266" w:rsidRPr="008E3A84" w:rsidRDefault="002A7266" w:rsidP="004204DC">
            <w:pPr>
              <w:jc w:val="center"/>
            </w:pPr>
            <w:r w:rsidRPr="008E3A84">
              <w:rPr>
                <w:sz w:val="22"/>
                <w:szCs w:val="22"/>
              </w:rPr>
              <w:t>1</w:t>
            </w:r>
          </w:p>
        </w:tc>
        <w:tc>
          <w:tcPr>
            <w:tcW w:w="9235" w:type="dxa"/>
            <w:vAlign w:val="center"/>
          </w:tcPr>
          <w:p w:rsidR="002A7266" w:rsidRPr="008E3A84" w:rsidRDefault="002A7266" w:rsidP="004204DC">
            <w:r w:rsidRPr="008E3A84">
              <w:rPr>
                <w:sz w:val="22"/>
                <w:szCs w:val="22"/>
              </w:rPr>
              <w:t>Операции с товарами, услугами, доходами и трансфертами</w:t>
            </w:r>
          </w:p>
        </w:tc>
      </w:tr>
      <w:tr w:rsidR="007327A2" w:rsidRPr="008E3A84" w:rsidTr="00AB3FEA">
        <w:trPr>
          <w:trHeight w:val="312"/>
          <w:tblHeader/>
        </w:trPr>
        <w:tc>
          <w:tcPr>
            <w:tcW w:w="796" w:type="dxa"/>
            <w:vAlign w:val="center"/>
          </w:tcPr>
          <w:p w:rsidR="002A7266" w:rsidRPr="008E3A84" w:rsidRDefault="002A7266" w:rsidP="004204DC">
            <w:pPr>
              <w:jc w:val="center"/>
            </w:pPr>
            <w:r w:rsidRPr="008E3A84">
              <w:rPr>
                <w:sz w:val="22"/>
                <w:szCs w:val="22"/>
              </w:rPr>
              <w:t>2</w:t>
            </w:r>
          </w:p>
        </w:tc>
        <w:tc>
          <w:tcPr>
            <w:tcW w:w="9235" w:type="dxa"/>
            <w:vAlign w:val="center"/>
          </w:tcPr>
          <w:p w:rsidR="002A7266" w:rsidRPr="008E3A84" w:rsidRDefault="002A7266" w:rsidP="004204DC">
            <w:r w:rsidRPr="008E3A84">
              <w:rPr>
                <w:sz w:val="22"/>
                <w:szCs w:val="22"/>
              </w:rPr>
              <w:t>Операции с прямыми и портфельными инвестициями</w:t>
            </w:r>
          </w:p>
        </w:tc>
      </w:tr>
      <w:tr w:rsidR="002A7266" w:rsidRPr="008E3A84" w:rsidTr="00AB3FEA">
        <w:trPr>
          <w:trHeight w:val="312"/>
          <w:tblHeader/>
        </w:trPr>
        <w:tc>
          <w:tcPr>
            <w:tcW w:w="796" w:type="dxa"/>
            <w:vAlign w:val="center"/>
          </w:tcPr>
          <w:p w:rsidR="002A7266" w:rsidRPr="008E3A84" w:rsidRDefault="002A7266" w:rsidP="004204DC">
            <w:pPr>
              <w:jc w:val="center"/>
            </w:pPr>
            <w:r w:rsidRPr="008E3A84">
              <w:rPr>
                <w:sz w:val="22"/>
                <w:szCs w:val="22"/>
              </w:rPr>
              <w:t>3</w:t>
            </w:r>
          </w:p>
        </w:tc>
        <w:tc>
          <w:tcPr>
            <w:tcW w:w="9235" w:type="dxa"/>
            <w:vAlign w:val="center"/>
          </w:tcPr>
          <w:p w:rsidR="002A7266" w:rsidRPr="008E3A84" w:rsidRDefault="002A7266" w:rsidP="004204DC">
            <w:r w:rsidRPr="008E3A84">
              <w:rPr>
                <w:sz w:val="22"/>
                <w:szCs w:val="22"/>
              </w:rPr>
              <w:t>Операции с кредитами, займами, депозитами, прочие операции</w:t>
            </w:r>
          </w:p>
        </w:tc>
      </w:tr>
    </w:tbl>
    <w:p w:rsidR="002A7266" w:rsidRPr="008E3A84" w:rsidRDefault="002A7266" w:rsidP="002A7266">
      <w:pPr>
        <w:pStyle w:val="a5"/>
        <w:ind w:left="720"/>
        <w:jc w:val="right"/>
        <w:rPr>
          <w:sz w:val="16"/>
          <w:szCs w:val="16"/>
        </w:rPr>
      </w:pPr>
    </w:p>
    <w:p w:rsidR="002A7266" w:rsidRPr="008E3A84" w:rsidRDefault="002A7266" w:rsidP="002A7266">
      <w:pPr>
        <w:pStyle w:val="a5"/>
        <w:ind w:left="720"/>
        <w:jc w:val="right"/>
        <w:rPr>
          <w:sz w:val="22"/>
          <w:szCs w:val="22"/>
        </w:rPr>
      </w:pPr>
      <w:r w:rsidRPr="008E3A84">
        <w:rPr>
          <w:sz w:val="22"/>
          <w:szCs w:val="22"/>
        </w:rPr>
        <w:t>Таблица 2. Код</w:t>
      </w:r>
      <w:r w:rsidR="000B690C">
        <w:rPr>
          <w:sz w:val="22"/>
          <w:szCs w:val="22"/>
        </w:rPr>
        <w:t xml:space="preserve"> </w:t>
      </w:r>
      <w:r w:rsidRPr="008E3A84">
        <w:rPr>
          <w:sz w:val="22"/>
          <w:szCs w:val="22"/>
        </w:rPr>
        <w:t>показателя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7327A2" w:rsidRPr="008E3A84" w:rsidTr="00D269E9">
        <w:trPr>
          <w:trHeight w:val="295"/>
          <w:tblHeader/>
        </w:trPr>
        <w:tc>
          <w:tcPr>
            <w:tcW w:w="675" w:type="dxa"/>
            <w:tcBorders>
              <w:bottom w:val="single" w:sz="4" w:space="0" w:color="auto"/>
            </w:tcBorders>
            <w:shd w:val="clear" w:color="auto" w:fill="D9D9D9"/>
            <w:vAlign w:val="center"/>
          </w:tcPr>
          <w:p w:rsidR="002A7266" w:rsidRPr="008E3A84" w:rsidRDefault="002A7266" w:rsidP="004204DC">
            <w:pPr>
              <w:jc w:val="center"/>
            </w:pPr>
            <w:r w:rsidRPr="008E3A84">
              <w:rPr>
                <w:sz w:val="22"/>
                <w:szCs w:val="22"/>
              </w:rPr>
              <w:t>Код</w:t>
            </w:r>
          </w:p>
        </w:tc>
        <w:tc>
          <w:tcPr>
            <w:tcW w:w="9356" w:type="dxa"/>
            <w:tcBorders>
              <w:bottom w:val="single" w:sz="4" w:space="0" w:color="auto"/>
            </w:tcBorders>
            <w:shd w:val="clear" w:color="auto" w:fill="D9D9D9"/>
            <w:vAlign w:val="center"/>
          </w:tcPr>
          <w:p w:rsidR="002A7266" w:rsidRPr="008E3A84" w:rsidRDefault="002A7266" w:rsidP="004204DC">
            <w:r w:rsidRPr="008E3A84">
              <w:rPr>
                <w:sz w:val="22"/>
                <w:szCs w:val="22"/>
              </w:rPr>
              <w:t xml:space="preserve">Наименование показателя </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w:t>
            </w:r>
          </w:p>
        </w:tc>
        <w:tc>
          <w:tcPr>
            <w:tcW w:w="9356" w:type="dxa"/>
            <w:vAlign w:val="center"/>
          </w:tcPr>
          <w:p w:rsidR="002A7266" w:rsidRPr="008E3A84" w:rsidRDefault="002A7266" w:rsidP="004204DC">
            <w:r w:rsidRPr="008E3A84">
              <w:rPr>
                <w:sz w:val="22"/>
                <w:szCs w:val="22"/>
              </w:rPr>
              <w:t>Товары</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w:t>
            </w:r>
          </w:p>
        </w:tc>
        <w:tc>
          <w:tcPr>
            <w:tcW w:w="9356" w:type="dxa"/>
            <w:vAlign w:val="center"/>
          </w:tcPr>
          <w:p w:rsidR="002A7266" w:rsidRPr="008E3A84" w:rsidRDefault="002A7266" w:rsidP="004204DC">
            <w:r w:rsidRPr="008E3A84">
              <w:rPr>
                <w:sz w:val="22"/>
                <w:szCs w:val="22"/>
              </w:rPr>
              <w:t>Транспортные услуги, всего</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2.1</w:t>
            </w:r>
          </w:p>
        </w:tc>
        <w:tc>
          <w:tcPr>
            <w:tcW w:w="9356" w:type="dxa"/>
            <w:vAlign w:val="center"/>
          </w:tcPr>
          <w:p w:rsidR="002A7266" w:rsidRPr="008E3A84" w:rsidRDefault="002A7266" w:rsidP="004204DC">
            <w:r w:rsidRPr="008E3A84">
              <w:rPr>
                <w:sz w:val="22"/>
                <w:szCs w:val="22"/>
              </w:rPr>
              <w:t>Грузовые транспортные услуги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2.2</w:t>
            </w:r>
          </w:p>
        </w:tc>
        <w:tc>
          <w:tcPr>
            <w:tcW w:w="9356" w:type="dxa"/>
            <w:vAlign w:val="center"/>
          </w:tcPr>
          <w:p w:rsidR="002A7266" w:rsidRPr="008E3A84" w:rsidRDefault="002A7266" w:rsidP="004204DC">
            <w:r w:rsidRPr="008E3A84">
              <w:rPr>
                <w:sz w:val="22"/>
                <w:szCs w:val="22"/>
              </w:rPr>
              <w:t>Прочие транспортные услуги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3</w:t>
            </w:r>
          </w:p>
        </w:tc>
        <w:tc>
          <w:tcPr>
            <w:tcW w:w="9356" w:type="dxa"/>
            <w:vAlign w:val="center"/>
          </w:tcPr>
          <w:p w:rsidR="002A7266" w:rsidRPr="008E3A84" w:rsidRDefault="002A7266" w:rsidP="004204DC">
            <w:r w:rsidRPr="008E3A84">
              <w:rPr>
                <w:sz w:val="22"/>
                <w:szCs w:val="22"/>
              </w:rPr>
              <w:t xml:space="preserve">Поездки деловые </w:t>
            </w:r>
          </w:p>
        </w:tc>
      </w:tr>
      <w:tr w:rsidR="007327A2" w:rsidRPr="008E3A84" w:rsidTr="00D269E9">
        <w:trPr>
          <w:trHeight w:val="295"/>
          <w:tblHeader/>
        </w:trPr>
        <w:tc>
          <w:tcPr>
            <w:tcW w:w="675" w:type="dxa"/>
            <w:vAlign w:val="center"/>
          </w:tcPr>
          <w:p w:rsidR="002A7266" w:rsidRPr="008E3A84" w:rsidRDefault="002A7266" w:rsidP="004204DC">
            <w:pPr>
              <w:jc w:val="center"/>
              <w:rPr>
                <w:strike/>
              </w:rPr>
            </w:pPr>
            <w:r w:rsidRPr="008E3A84">
              <w:rPr>
                <w:strike/>
                <w:sz w:val="22"/>
                <w:szCs w:val="22"/>
              </w:rPr>
              <w:t>4</w:t>
            </w:r>
          </w:p>
        </w:tc>
        <w:tc>
          <w:tcPr>
            <w:tcW w:w="9356" w:type="dxa"/>
            <w:vAlign w:val="center"/>
          </w:tcPr>
          <w:p w:rsidR="002A7266" w:rsidRPr="008E3A84" w:rsidRDefault="002A7266" w:rsidP="004204DC">
            <w:pPr>
              <w:rPr>
                <w:strike/>
              </w:rPr>
            </w:pPr>
            <w:r w:rsidRPr="008E3A84">
              <w:rPr>
                <w:sz w:val="22"/>
                <w:szCs w:val="22"/>
              </w:rPr>
              <w:t>Обработка материальных ресурсов, не принадлежащих другим сторонам (переработка давальческого сырья)</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5</w:t>
            </w:r>
          </w:p>
        </w:tc>
        <w:tc>
          <w:tcPr>
            <w:tcW w:w="9356" w:type="dxa"/>
            <w:vAlign w:val="center"/>
          </w:tcPr>
          <w:p w:rsidR="002A7266" w:rsidRPr="008E3A84" w:rsidRDefault="002A7266" w:rsidP="004204DC">
            <w:r w:rsidRPr="008E3A84">
              <w:rPr>
                <w:sz w:val="22"/>
                <w:szCs w:val="22"/>
              </w:rPr>
              <w:t>Услуги связи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6</w:t>
            </w:r>
          </w:p>
        </w:tc>
        <w:tc>
          <w:tcPr>
            <w:tcW w:w="9356" w:type="dxa"/>
            <w:vAlign w:val="center"/>
          </w:tcPr>
          <w:p w:rsidR="002A7266" w:rsidRPr="008E3A84" w:rsidRDefault="002A7266" w:rsidP="004204DC">
            <w:r w:rsidRPr="008E3A84">
              <w:rPr>
                <w:sz w:val="22"/>
                <w:szCs w:val="22"/>
              </w:rPr>
              <w:t>Строительные услуги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7</w:t>
            </w:r>
          </w:p>
        </w:tc>
        <w:tc>
          <w:tcPr>
            <w:tcW w:w="9356" w:type="dxa"/>
            <w:vAlign w:val="center"/>
          </w:tcPr>
          <w:p w:rsidR="002A7266" w:rsidRPr="008E3A84" w:rsidRDefault="002A7266" w:rsidP="004204DC">
            <w:r w:rsidRPr="008E3A84">
              <w:rPr>
                <w:sz w:val="22"/>
                <w:szCs w:val="22"/>
              </w:rPr>
              <w:t>Страховые услуги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8</w:t>
            </w:r>
          </w:p>
        </w:tc>
        <w:tc>
          <w:tcPr>
            <w:tcW w:w="9356" w:type="dxa"/>
            <w:vAlign w:val="center"/>
          </w:tcPr>
          <w:p w:rsidR="002A7266" w:rsidRPr="008E3A84" w:rsidRDefault="002A7266" w:rsidP="004204DC">
            <w:r w:rsidRPr="008E3A84">
              <w:rPr>
                <w:sz w:val="22"/>
                <w:szCs w:val="22"/>
              </w:rPr>
              <w:t>Финансовые услуги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9</w:t>
            </w:r>
          </w:p>
        </w:tc>
        <w:tc>
          <w:tcPr>
            <w:tcW w:w="9356" w:type="dxa"/>
            <w:vAlign w:val="center"/>
          </w:tcPr>
          <w:p w:rsidR="002A7266" w:rsidRPr="008E3A84" w:rsidRDefault="002A7266" w:rsidP="004204DC">
            <w:r w:rsidRPr="008E3A84">
              <w:rPr>
                <w:sz w:val="22"/>
                <w:szCs w:val="22"/>
              </w:rPr>
              <w:t>Информационные услуги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10</w:t>
            </w:r>
          </w:p>
        </w:tc>
        <w:tc>
          <w:tcPr>
            <w:tcW w:w="9356" w:type="dxa"/>
            <w:vAlign w:val="center"/>
          </w:tcPr>
          <w:p w:rsidR="002A7266" w:rsidRPr="008E3A84" w:rsidRDefault="002A7266" w:rsidP="004204DC">
            <w:r w:rsidRPr="008E3A84">
              <w:rPr>
                <w:sz w:val="22"/>
                <w:szCs w:val="22"/>
              </w:rPr>
              <w:t>Лицензионные услуги</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11</w:t>
            </w:r>
          </w:p>
        </w:tc>
        <w:tc>
          <w:tcPr>
            <w:tcW w:w="9356" w:type="dxa"/>
            <w:vAlign w:val="center"/>
          </w:tcPr>
          <w:p w:rsidR="002A7266" w:rsidRPr="008E3A84" w:rsidRDefault="00966CE7" w:rsidP="004204DC">
            <w:r w:rsidRPr="008E3A84">
              <w:rPr>
                <w:sz w:val="22"/>
                <w:szCs w:val="22"/>
              </w:rPr>
              <w:t>Прочие</w:t>
            </w:r>
            <w:r w:rsidR="002A7266" w:rsidRPr="008E3A84">
              <w:rPr>
                <w:sz w:val="22"/>
                <w:szCs w:val="22"/>
              </w:rPr>
              <w:t xml:space="preserve"> услуги </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12</w:t>
            </w:r>
          </w:p>
        </w:tc>
        <w:tc>
          <w:tcPr>
            <w:tcW w:w="9356" w:type="dxa"/>
            <w:vAlign w:val="center"/>
          </w:tcPr>
          <w:p w:rsidR="002A7266" w:rsidRPr="008E3A84" w:rsidRDefault="002A7266" w:rsidP="004204DC">
            <w:r w:rsidRPr="008E3A84">
              <w:rPr>
                <w:sz w:val="22"/>
                <w:szCs w:val="22"/>
              </w:rPr>
              <w:t>Доходы от прямых и портфельных инвестиций, всего</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12.1</w:t>
            </w:r>
          </w:p>
        </w:tc>
        <w:tc>
          <w:tcPr>
            <w:tcW w:w="9356" w:type="dxa"/>
            <w:vAlign w:val="center"/>
          </w:tcPr>
          <w:p w:rsidR="002A7266" w:rsidRPr="008E3A84" w:rsidRDefault="002A7266" w:rsidP="004204DC">
            <w:r w:rsidRPr="008E3A84">
              <w:rPr>
                <w:sz w:val="22"/>
                <w:szCs w:val="22"/>
              </w:rPr>
              <w:t xml:space="preserve">Доходы от прямых инвестиций </w:t>
            </w:r>
            <w:r w:rsidRPr="008E3A84">
              <w:rPr>
                <w:sz w:val="22"/>
                <w:szCs w:val="22"/>
              </w:rPr>
              <w:softHyphen/>
              <w:t>– дивиденды</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12.2</w:t>
            </w:r>
          </w:p>
        </w:tc>
        <w:tc>
          <w:tcPr>
            <w:tcW w:w="9356" w:type="dxa"/>
            <w:vAlign w:val="center"/>
          </w:tcPr>
          <w:p w:rsidR="002A7266" w:rsidRPr="008E3A84" w:rsidRDefault="002A7266" w:rsidP="004204DC">
            <w:r w:rsidRPr="008E3A84">
              <w:rPr>
                <w:sz w:val="22"/>
                <w:szCs w:val="22"/>
              </w:rPr>
              <w:t xml:space="preserve">Доходы от прямых инвестиций </w:t>
            </w:r>
            <w:r w:rsidRPr="008E3A84">
              <w:rPr>
                <w:sz w:val="22"/>
                <w:szCs w:val="22"/>
              </w:rPr>
              <w:softHyphen/>
              <w:t>– проценты</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12.3</w:t>
            </w:r>
          </w:p>
        </w:tc>
        <w:tc>
          <w:tcPr>
            <w:tcW w:w="9356" w:type="dxa"/>
            <w:vAlign w:val="center"/>
          </w:tcPr>
          <w:p w:rsidR="002A7266" w:rsidRPr="008E3A84" w:rsidRDefault="002A7266" w:rsidP="004204DC">
            <w:r w:rsidRPr="008E3A84">
              <w:rPr>
                <w:sz w:val="22"/>
                <w:szCs w:val="22"/>
              </w:rPr>
              <w:t xml:space="preserve">Доходы от портфельных инвестиций </w:t>
            </w:r>
            <w:r w:rsidRPr="008E3A84">
              <w:rPr>
                <w:sz w:val="22"/>
                <w:szCs w:val="22"/>
              </w:rPr>
              <w:softHyphen/>
              <w:t>– дивиденды</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12.4</w:t>
            </w:r>
          </w:p>
        </w:tc>
        <w:tc>
          <w:tcPr>
            <w:tcW w:w="9356" w:type="dxa"/>
            <w:vAlign w:val="center"/>
          </w:tcPr>
          <w:p w:rsidR="002A7266" w:rsidRPr="008E3A84" w:rsidRDefault="002A7266" w:rsidP="004204DC">
            <w:r w:rsidRPr="008E3A84">
              <w:rPr>
                <w:sz w:val="22"/>
                <w:szCs w:val="22"/>
              </w:rPr>
              <w:t xml:space="preserve">Доходы от портфельных инвестиций </w:t>
            </w:r>
            <w:r w:rsidRPr="008E3A84">
              <w:rPr>
                <w:sz w:val="22"/>
                <w:szCs w:val="22"/>
              </w:rPr>
              <w:softHyphen/>
              <w:t>– проценты</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13</w:t>
            </w:r>
          </w:p>
        </w:tc>
        <w:tc>
          <w:tcPr>
            <w:tcW w:w="9356" w:type="dxa"/>
            <w:vAlign w:val="center"/>
          </w:tcPr>
          <w:p w:rsidR="002A7266" w:rsidRPr="008E3A84" w:rsidRDefault="002A7266" w:rsidP="004204DC">
            <w:r w:rsidRPr="008E3A84">
              <w:rPr>
                <w:sz w:val="22"/>
                <w:szCs w:val="22"/>
              </w:rPr>
              <w:t xml:space="preserve">Доходы от прочих инвестиций – проценты </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14</w:t>
            </w:r>
          </w:p>
        </w:tc>
        <w:tc>
          <w:tcPr>
            <w:tcW w:w="9356" w:type="dxa"/>
            <w:vAlign w:val="center"/>
          </w:tcPr>
          <w:p w:rsidR="002A7266" w:rsidRPr="008E3A84" w:rsidRDefault="002A7266" w:rsidP="004204DC">
            <w:r w:rsidRPr="008E3A84">
              <w:rPr>
                <w:sz w:val="22"/>
                <w:szCs w:val="22"/>
              </w:rPr>
              <w:t>Трансферты текущие</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15</w:t>
            </w:r>
          </w:p>
        </w:tc>
        <w:tc>
          <w:tcPr>
            <w:tcW w:w="9356" w:type="dxa"/>
            <w:vAlign w:val="center"/>
          </w:tcPr>
          <w:p w:rsidR="002A7266" w:rsidRPr="008E3A84" w:rsidRDefault="002A7266" w:rsidP="004204DC">
            <w:r w:rsidRPr="008E3A84">
              <w:rPr>
                <w:sz w:val="22"/>
                <w:szCs w:val="22"/>
              </w:rPr>
              <w:t>Трансферты капитальные</w:t>
            </w:r>
            <w:r w:rsidR="00E95C1D">
              <w:rPr>
                <w:sz w:val="22"/>
                <w:szCs w:val="22"/>
              </w:rPr>
              <w:t xml:space="preserve"> </w:t>
            </w:r>
            <w:r w:rsidR="005C23FB" w:rsidRPr="008E3A84">
              <w:rPr>
                <w:sz w:val="22"/>
                <w:szCs w:val="22"/>
              </w:rPr>
              <w:t>и приобретение и отчуждение непроизведенных нефинансовых активов</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16</w:t>
            </w:r>
          </w:p>
        </w:tc>
        <w:tc>
          <w:tcPr>
            <w:tcW w:w="9356" w:type="dxa"/>
            <w:vAlign w:val="center"/>
          </w:tcPr>
          <w:p w:rsidR="002A7266" w:rsidRPr="008E3A84" w:rsidRDefault="002A7266" w:rsidP="004204DC">
            <w:r w:rsidRPr="008E3A84">
              <w:rPr>
                <w:sz w:val="22"/>
                <w:szCs w:val="22"/>
              </w:rPr>
              <w:t>Прямые инвестиции за границу – по требованиям отчитывающегося субъекта</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17</w:t>
            </w:r>
          </w:p>
        </w:tc>
        <w:tc>
          <w:tcPr>
            <w:tcW w:w="9356" w:type="dxa"/>
            <w:vAlign w:val="center"/>
          </w:tcPr>
          <w:p w:rsidR="002A7266" w:rsidRPr="008E3A84" w:rsidRDefault="002A7266" w:rsidP="004204DC">
            <w:r w:rsidRPr="008E3A84">
              <w:rPr>
                <w:sz w:val="22"/>
                <w:szCs w:val="22"/>
              </w:rPr>
              <w:t>Прямые инвестиции за границу – по обязательствам отчитывающегося субъекта</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18</w:t>
            </w:r>
          </w:p>
        </w:tc>
        <w:tc>
          <w:tcPr>
            <w:tcW w:w="9356" w:type="dxa"/>
            <w:vAlign w:val="center"/>
          </w:tcPr>
          <w:p w:rsidR="002A7266" w:rsidRPr="008E3A84" w:rsidRDefault="002A7266" w:rsidP="004204DC">
            <w:r w:rsidRPr="008E3A84">
              <w:rPr>
                <w:sz w:val="22"/>
                <w:szCs w:val="22"/>
              </w:rPr>
              <w:t>Прямые инвестиции в ПМР – по требованиям отчитывающегося субъекта</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19</w:t>
            </w:r>
          </w:p>
        </w:tc>
        <w:tc>
          <w:tcPr>
            <w:tcW w:w="9356" w:type="dxa"/>
            <w:vAlign w:val="center"/>
          </w:tcPr>
          <w:p w:rsidR="002A7266" w:rsidRPr="008E3A84" w:rsidRDefault="002A7266" w:rsidP="004204DC">
            <w:r w:rsidRPr="008E3A84">
              <w:rPr>
                <w:sz w:val="22"/>
                <w:szCs w:val="22"/>
              </w:rPr>
              <w:t>Прямые инвестиции в ПМР – по обязательствам отчитывающегося субъекта</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20</w:t>
            </w:r>
          </w:p>
        </w:tc>
        <w:tc>
          <w:tcPr>
            <w:tcW w:w="9356" w:type="dxa"/>
            <w:vAlign w:val="center"/>
          </w:tcPr>
          <w:p w:rsidR="002A7266" w:rsidRPr="008E3A84" w:rsidRDefault="002955DE" w:rsidP="004204DC">
            <w:r w:rsidRPr="008E3A84">
              <w:rPr>
                <w:sz w:val="22"/>
                <w:szCs w:val="22"/>
              </w:rPr>
              <w:t xml:space="preserve">Портфельные инвестиции – </w:t>
            </w:r>
            <w:r w:rsidR="002A7266" w:rsidRPr="008E3A84">
              <w:rPr>
                <w:sz w:val="22"/>
                <w:szCs w:val="22"/>
              </w:rPr>
              <w:t>Активы</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21</w:t>
            </w:r>
          </w:p>
        </w:tc>
        <w:tc>
          <w:tcPr>
            <w:tcW w:w="9356" w:type="dxa"/>
            <w:vAlign w:val="center"/>
          </w:tcPr>
          <w:p w:rsidR="002A7266" w:rsidRPr="008E3A84" w:rsidRDefault="002955DE" w:rsidP="006B2008">
            <w:r w:rsidRPr="008E3A84">
              <w:rPr>
                <w:sz w:val="22"/>
                <w:szCs w:val="22"/>
              </w:rPr>
              <w:t>Портфельные инвестиции – Пассивы</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22</w:t>
            </w:r>
          </w:p>
        </w:tc>
        <w:tc>
          <w:tcPr>
            <w:tcW w:w="9356" w:type="dxa"/>
            <w:vAlign w:val="center"/>
          </w:tcPr>
          <w:p w:rsidR="002A7266" w:rsidRPr="008E3A84" w:rsidRDefault="000D0D9E" w:rsidP="000D0D9E">
            <w:r w:rsidRPr="008E3A84">
              <w:rPr>
                <w:sz w:val="22"/>
                <w:szCs w:val="22"/>
              </w:rPr>
              <w:t xml:space="preserve">Прочие инвестиции – Активы </w:t>
            </w:r>
            <w:r w:rsidR="00487251" w:rsidRPr="008E3A84">
              <w:rPr>
                <w:sz w:val="22"/>
                <w:szCs w:val="22"/>
              </w:rPr>
              <w:t>(долгосрочные)</w:t>
            </w:r>
          </w:p>
        </w:tc>
      </w:tr>
      <w:tr w:rsidR="007327A2"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23</w:t>
            </w:r>
          </w:p>
        </w:tc>
        <w:tc>
          <w:tcPr>
            <w:tcW w:w="9356" w:type="dxa"/>
            <w:vAlign w:val="center"/>
          </w:tcPr>
          <w:p w:rsidR="002A7266" w:rsidRPr="008E3A84" w:rsidRDefault="002A7266" w:rsidP="00487251">
            <w:r w:rsidRPr="008E3A84">
              <w:rPr>
                <w:sz w:val="22"/>
                <w:szCs w:val="22"/>
              </w:rPr>
              <w:t xml:space="preserve">Прочие инвестиции </w:t>
            </w:r>
            <w:r w:rsidR="00A62D55" w:rsidRPr="008E3A84">
              <w:rPr>
                <w:sz w:val="22"/>
                <w:szCs w:val="22"/>
              </w:rPr>
              <w:t>– Активы (краткосрочные)</w:t>
            </w:r>
          </w:p>
        </w:tc>
      </w:tr>
      <w:tr w:rsidR="007327A2" w:rsidRPr="008E3A84" w:rsidTr="00D269E9">
        <w:trPr>
          <w:trHeight w:val="295"/>
          <w:tblHeader/>
        </w:trPr>
        <w:tc>
          <w:tcPr>
            <w:tcW w:w="675" w:type="dxa"/>
            <w:vAlign w:val="center"/>
          </w:tcPr>
          <w:p w:rsidR="005A0D38" w:rsidRPr="008E3A84" w:rsidRDefault="005A0D38" w:rsidP="004204DC">
            <w:pPr>
              <w:jc w:val="center"/>
            </w:pPr>
            <w:r w:rsidRPr="008E3A84">
              <w:rPr>
                <w:sz w:val="22"/>
                <w:szCs w:val="22"/>
              </w:rPr>
              <w:t>24</w:t>
            </w:r>
          </w:p>
        </w:tc>
        <w:tc>
          <w:tcPr>
            <w:tcW w:w="9356" w:type="dxa"/>
            <w:vAlign w:val="center"/>
          </w:tcPr>
          <w:p w:rsidR="005A0D38" w:rsidRPr="008E3A84" w:rsidRDefault="005A0D38" w:rsidP="005A0D38">
            <w:r w:rsidRPr="008E3A84">
              <w:rPr>
                <w:sz w:val="22"/>
                <w:szCs w:val="22"/>
              </w:rPr>
              <w:t>Прочие инвестиции – Пассивы (долгосрочные)</w:t>
            </w:r>
          </w:p>
        </w:tc>
      </w:tr>
      <w:tr w:rsidR="007327A2" w:rsidRPr="008E3A84" w:rsidTr="00D269E9">
        <w:trPr>
          <w:trHeight w:val="295"/>
          <w:tblHeader/>
        </w:trPr>
        <w:tc>
          <w:tcPr>
            <w:tcW w:w="675" w:type="dxa"/>
            <w:vAlign w:val="center"/>
          </w:tcPr>
          <w:p w:rsidR="005A0D38" w:rsidRPr="008E3A84" w:rsidRDefault="005A0D38" w:rsidP="004204DC">
            <w:pPr>
              <w:jc w:val="center"/>
            </w:pPr>
            <w:r w:rsidRPr="008E3A84">
              <w:rPr>
                <w:sz w:val="22"/>
                <w:szCs w:val="22"/>
              </w:rPr>
              <w:t>25</w:t>
            </w:r>
          </w:p>
        </w:tc>
        <w:tc>
          <w:tcPr>
            <w:tcW w:w="9356" w:type="dxa"/>
            <w:vAlign w:val="center"/>
          </w:tcPr>
          <w:p w:rsidR="005A0D38" w:rsidRPr="008E3A84" w:rsidRDefault="005A0D38" w:rsidP="005A0D38">
            <w:r w:rsidRPr="008E3A84">
              <w:rPr>
                <w:sz w:val="22"/>
                <w:szCs w:val="22"/>
              </w:rPr>
              <w:t>Прочие инвестиции – Пассивы (краткосрочные)</w:t>
            </w:r>
          </w:p>
        </w:tc>
      </w:tr>
      <w:tr w:rsidR="007327A2" w:rsidRPr="008E3A84" w:rsidTr="00D269E9">
        <w:trPr>
          <w:trHeight w:val="295"/>
          <w:tblHeader/>
        </w:trPr>
        <w:tc>
          <w:tcPr>
            <w:tcW w:w="675" w:type="dxa"/>
            <w:tcBorders>
              <w:bottom w:val="single" w:sz="4" w:space="0" w:color="auto"/>
            </w:tcBorders>
            <w:vAlign w:val="center"/>
          </w:tcPr>
          <w:p w:rsidR="002A7266" w:rsidRPr="008E3A84" w:rsidRDefault="002A7266" w:rsidP="004204DC">
            <w:pPr>
              <w:jc w:val="center"/>
            </w:pPr>
            <w:r w:rsidRPr="008E3A84">
              <w:rPr>
                <w:sz w:val="22"/>
                <w:szCs w:val="22"/>
              </w:rPr>
              <w:t>26</w:t>
            </w:r>
          </w:p>
        </w:tc>
        <w:tc>
          <w:tcPr>
            <w:tcW w:w="9356" w:type="dxa"/>
            <w:tcBorders>
              <w:bottom w:val="single" w:sz="4" w:space="0" w:color="auto"/>
            </w:tcBorders>
            <w:vAlign w:val="center"/>
          </w:tcPr>
          <w:p w:rsidR="002A7266" w:rsidRPr="008E3A84" w:rsidRDefault="00DC0A9C" w:rsidP="00F429E0">
            <w:r w:rsidRPr="008E3A84">
              <w:rPr>
                <w:sz w:val="22"/>
                <w:szCs w:val="22"/>
              </w:rPr>
              <w:t xml:space="preserve">Поступление </w:t>
            </w:r>
            <w:r w:rsidR="002A7266" w:rsidRPr="008E3A84">
              <w:rPr>
                <w:sz w:val="22"/>
                <w:szCs w:val="22"/>
              </w:rPr>
              <w:t xml:space="preserve">средств </w:t>
            </w:r>
            <w:r w:rsidR="00F429E0" w:rsidRPr="008E3A84">
              <w:rPr>
                <w:sz w:val="22"/>
                <w:szCs w:val="22"/>
              </w:rPr>
              <w:t>на другие собственные счета</w:t>
            </w:r>
            <w:r w:rsidR="002A7266" w:rsidRPr="008E3A84">
              <w:rPr>
                <w:sz w:val="22"/>
                <w:szCs w:val="22"/>
              </w:rPr>
              <w:t xml:space="preserve"> отчитывающегося субъекта</w:t>
            </w:r>
            <w:r w:rsidR="00F429E0" w:rsidRPr="008E3A84">
              <w:rPr>
                <w:sz w:val="22"/>
                <w:szCs w:val="22"/>
              </w:rPr>
              <w:t xml:space="preserve"> (списание средств с других собственных счетов отчитывающегося субъекта)</w:t>
            </w:r>
          </w:p>
        </w:tc>
      </w:tr>
      <w:tr w:rsidR="002A7266" w:rsidRPr="008E3A84" w:rsidTr="00D269E9">
        <w:trPr>
          <w:trHeight w:val="295"/>
          <w:tblHeader/>
        </w:trPr>
        <w:tc>
          <w:tcPr>
            <w:tcW w:w="675" w:type="dxa"/>
            <w:vAlign w:val="center"/>
          </w:tcPr>
          <w:p w:rsidR="002A7266" w:rsidRPr="008E3A84" w:rsidRDefault="002A7266" w:rsidP="004204DC">
            <w:pPr>
              <w:jc w:val="center"/>
            </w:pPr>
            <w:r w:rsidRPr="008E3A84">
              <w:rPr>
                <w:sz w:val="22"/>
                <w:szCs w:val="22"/>
              </w:rPr>
              <w:t>27</w:t>
            </w:r>
          </w:p>
        </w:tc>
        <w:tc>
          <w:tcPr>
            <w:tcW w:w="9356" w:type="dxa"/>
            <w:vAlign w:val="center"/>
          </w:tcPr>
          <w:p w:rsidR="002A7266" w:rsidRPr="008E3A84" w:rsidRDefault="002A7266" w:rsidP="004204DC">
            <w:r w:rsidRPr="008E3A84">
              <w:rPr>
                <w:sz w:val="22"/>
                <w:szCs w:val="22"/>
              </w:rPr>
              <w:t>Прочие операции, не отнес</w:t>
            </w:r>
            <w:r w:rsidR="00FA2B54" w:rsidRPr="008E3A84">
              <w:rPr>
                <w:sz w:val="22"/>
                <w:szCs w:val="22"/>
              </w:rPr>
              <w:t>е</w:t>
            </w:r>
            <w:r w:rsidRPr="008E3A84">
              <w:rPr>
                <w:sz w:val="22"/>
                <w:szCs w:val="22"/>
              </w:rPr>
              <w:t>нные ни к одному из вышеперечисленных кодов</w:t>
            </w:r>
          </w:p>
        </w:tc>
      </w:tr>
    </w:tbl>
    <w:p w:rsidR="008E211E" w:rsidRPr="008E3A84" w:rsidRDefault="008E211E" w:rsidP="008E211E">
      <w:pPr>
        <w:ind w:firstLine="567"/>
        <w:jc w:val="both"/>
        <w:rPr>
          <w:sz w:val="22"/>
          <w:szCs w:val="22"/>
        </w:rPr>
      </w:pPr>
    </w:p>
    <w:p w:rsidR="008E211E" w:rsidRPr="008E3A84" w:rsidRDefault="008E211E" w:rsidP="004204DC">
      <w:pPr>
        <w:rPr>
          <w:sz w:val="22"/>
          <w:szCs w:val="22"/>
        </w:rPr>
      </w:pPr>
    </w:p>
    <w:p w:rsidR="00A62D55" w:rsidRPr="008E3A84" w:rsidRDefault="00A62D55" w:rsidP="00820B47">
      <w:pPr>
        <w:jc w:val="center"/>
        <w:rPr>
          <w:b/>
        </w:rPr>
      </w:pPr>
    </w:p>
    <w:p w:rsidR="0003534C" w:rsidRPr="008E3A84" w:rsidRDefault="0003534C">
      <w:pPr>
        <w:spacing w:after="200" w:line="276" w:lineRule="auto"/>
        <w:rPr>
          <w:b/>
        </w:rPr>
      </w:pPr>
      <w:r w:rsidRPr="008E3A84">
        <w:rPr>
          <w:b/>
        </w:rPr>
        <w:br w:type="page"/>
      </w:r>
    </w:p>
    <w:p w:rsidR="00820B47" w:rsidRPr="008E3A84" w:rsidRDefault="00820B47" w:rsidP="00820B47">
      <w:pPr>
        <w:jc w:val="center"/>
        <w:rPr>
          <w:b/>
        </w:rPr>
      </w:pPr>
      <w:r w:rsidRPr="008E3A84">
        <w:rPr>
          <w:b/>
        </w:rPr>
        <w:lastRenderedPageBreak/>
        <w:t>Порядок составления и представления</w:t>
      </w:r>
      <w:r w:rsidR="00E95C1D">
        <w:rPr>
          <w:b/>
        </w:rPr>
        <w:t xml:space="preserve"> </w:t>
      </w:r>
      <w:r w:rsidRPr="008E3A84">
        <w:rPr>
          <w:b/>
        </w:rPr>
        <w:t>отч</w:t>
      </w:r>
      <w:r w:rsidR="00E95C1D">
        <w:rPr>
          <w:b/>
        </w:rPr>
        <w:t>ё</w:t>
      </w:r>
      <w:r w:rsidRPr="008E3A84">
        <w:rPr>
          <w:b/>
        </w:rPr>
        <w:t xml:space="preserve">та </w:t>
      </w:r>
      <w:r w:rsidRPr="008E3A84">
        <w:rPr>
          <w:b/>
          <w:sz w:val="20"/>
          <w:szCs w:val="20"/>
        </w:rPr>
        <w:t>3-ПБ «</w:t>
      </w:r>
      <w:r w:rsidR="001656DD" w:rsidRPr="008E3A84">
        <w:rPr>
          <w:b/>
        </w:rPr>
        <w:t xml:space="preserve">Об операциях по счетам </w:t>
      </w:r>
      <w:r w:rsidR="001656DD" w:rsidRPr="008E3A84">
        <w:rPr>
          <w:b/>
        </w:rPr>
        <w:br/>
        <w:t>хозяйствующих субъектов, открытым в кредитных организациях за пределами Приднестровской Молдавской Республики»</w:t>
      </w:r>
    </w:p>
    <w:p w:rsidR="00B31FB0" w:rsidRPr="008E3A84" w:rsidRDefault="00B31FB0" w:rsidP="004C7686">
      <w:pPr>
        <w:autoSpaceDE w:val="0"/>
        <w:autoSpaceDN w:val="0"/>
        <w:adjustRightInd w:val="0"/>
        <w:jc w:val="center"/>
        <w:rPr>
          <w:b/>
        </w:rPr>
      </w:pPr>
    </w:p>
    <w:p w:rsidR="004C7686" w:rsidRPr="008E3A84" w:rsidRDefault="004C7686" w:rsidP="004C7686">
      <w:pPr>
        <w:autoSpaceDE w:val="0"/>
        <w:autoSpaceDN w:val="0"/>
        <w:adjustRightInd w:val="0"/>
        <w:jc w:val="center"/>
        <w:rPr>
          <w:b/>
        </w:rPr>
      </w:pPr>
      <w:r w:rsidRPr="008E3A84">
        <w:rPr>
          <w:b/>
        </w:rPr>
        <w:t xml:space="preserve">Раздел 1. Общие положения </w:t>
      </w:r>
    </w:p>
    <w:p w:rsidR="004C7686" w:rsidRPr="008E3A84" w:rsidRDefault="004C7686" w:rsidP="004C7686">
      <w:pPr>
        <w:autoSpaceDE w:val="0"/>
        <w:autoSpaceDN w:val="0"/>
        <w:adjustRightInd w:val="0"/>
        <w:jc w:val="center"/>
      </w:pPr>
    </w:p>
    <w:p w:rsidR="004C7686" w:rsidRPr="008E3A84" w:rsidRDefault="004C7686" w:rsidP="004C7686">
      <w:pPr>
        <w:autoSpaceDE w:val="0"/>
        <w:autoSpaceDN w:val="0"/>
        <w:adjustRightInd w:val="0"/>
        <w:ind w:firstLine="851"/>
        <w:jc w:val="both"/>
      </w:pPr>
      <w:r w:rsidRPr="008E3A84">
        <w:t>1. Отчет 3-ПБ «Об операциях по счетам х</w:t>
      </w:r>
      <w:r w:rsidR="00B31FB0" w:rsidRPr="008E3A84">
        <w:t>озяйствующего субъекта, открытым</w:t>
      </w:r>
      <w:r w:rsidRPr="008E3A84">
        <w:t xml:space="preserve"> в кредитных организациях за пределами Приднестровской Молдавской Республики» (далее </w:t>
      </w:r>
      <w:r w:rsidR="005006E4" w:rsidRPr="008E3A84">
        <w:t>–</w:t>
      </w:r>
      <w:r w:rsidRPr="008E3A84">
        <w:t xml:space="preserve">отчет) представляют хозяйствующие субъекты Приднестровской Молдавской Республики, имеющие счета в кредитных организациях за пределами Приднестровской Молдавской Республики (за исключением банков). </w:t>
      </w:r>
    </w:p>
    <w:p w:rsidR="004C7686" w:rsidRPr="008E3A84" w:rsidRDefault="004C7686" w:rsidP="004C7686">
      <w:pPr>
        <w:autoSpaceDE w:val="0"/>
        <w:autoSpaceDN w:val="0"/>
        <w:adjustRightInd w:val="0"/>
        <w:ind w:firstLine="360"/>
        <w:jc w:val="both"/>
      </w:pPr>
    </w:p>
    <w:p w:rsidR="004C7686" w:rsidRPr="008E3A84" w:rsidRDefault="004C7686" w:rsidP="004C7686">
      <w:pPr>
        <w:autoSpaceDE w:val="0"/>
        <w:autoSpaceDN w:val="0"/>
        <w:adjustRightInd w:val="0"/>
        <w:jc w:val="center"/>
        <w:rPr>
          <w:b/>
        </w:rPr>
      </w:pPr>
      <w:r w:rsidRPr="008E3A84">
        <w:rPr>
          <w:b/>
        </w:rPr>
        <w:t xml:space="preserve">Раздел 2. Основные понятия и определения </w:t>
      </w:r>
    </w:p>
    <w:p w:rsidR="004C7686" w:rsidRPr="008E3A84" w:rsidRDefault="004C7686" w:rsidP="004C7686">
      <w:pPr>
        <w:autoSpaceDE w:val="0"/>
        <w:autoSpaceDN w:val="0"/>
        <w:adjustRightInd w:val="0"/>
        <w:jc w:val="center"/>
      </w:pPr>
    </w:p>
    <w:p w:rsidR="004C7686" w:rsidRPr="008E3A84" w:rsidRDefault="004C7686" w:rsidP="004C7686">
      <w:pPr>
        <w:autoSpaceDE w:val="0"/>
        <w:autoSpaceDN w:val="0"/>
        <w:adjustRightInd w:val="0"/>
        <w:ind w:firstLine="851"/>
        <w:jc w:val="both"/>
      </w:pPr>
      <w:r w:rsidRPr="008E3A84">
        <w:t xml:space="preserve">2. В рамках настоящего порядка используются следующие понятия и определения: </w:t>
      </w:r>
    </w:p>
    <w:p w:rsidR="00C9216C" w:rsidRPr="008E3A84" w:rsidRDefault="004C7686" w:rsidP="004C7686">
      <w:pPr>
        <w:autoSpaceDE w:val="0"/>
        <w:autoSpaceDN w:val="0"/>
        <w:adjustRightInd w:val="0"/>
        <w:ind w:firstLine="851"/>
        <w:jc w:val="both"/>
      </w:pPr>
      <w:r w:rsidRPr="008E3A84">
        <w:t xml:space="preserve">а) прямые инвестиции </w:t>
      </w:r>
      <w:r w:rsidR="00B44FAC" w:rsidRPr="008E3A84">
        <w:t>–</w:t>
      </w:r>
      <w:r w:rsidRPr="008E3A84">
        <w:t xml:space="preserve"> инвестиции, сделанные прямыми инвесторами, т.е. юридическими и физическими лицами, полностью владеющими предприятием или контролирующими не менее 10% акций или уставного (складочного) капитала предприятия, что да</w:t>
      </w:r>
      <w:r w:rsidR="00FA2B54" w:rsidRPr="008E3A84">
        <w:t>е</w:t>
      </w:r>
      <w:r w:rsidRPr="008E3A84">
        <w:t>т право на участие в управлении предприятием. К прямым инвестициям относится не только исходная операция по вложению капитала, но и все последующие операции между прямым инвестором и предприятием прямого инвестирования: взносы в капитал зарубежными совладельцами организации, за</w:t>
      </w:r>
      <w:r w:rsidR="00FA2B54" w:rsidRPr="008E3A84">
        <w:t>е</w:t>
      </w:r>
      <w:r w:rsidRPr="008E3A84">
        <w:t>мные и кредитные ресурсы, включая долгов</w:t>
      </w:r>
      <w:r w:rsidR="00B31FB0" w:rsidRPr="008E3A84">
        <w:t>ые ценные бумаги</w:t>
      </w:r>
      <w:r w:rsidR="00932BFC" w:rsidRPr="008E3A84">
        <w:t>. Прямые инвестиции обычно направлены от прямого инвестора к предприятию прямого инвестирования. При этом могут иметь место и потоки в обратном направлении</w:t>
      </w:r>
      <w:r w:rsidR="00C9216C" w:rsidRPr="008E3A84">
        <w:t>;</w:t>
      </w:r>
    </w:p>
    <w:p w:rsidR="00F54EE9" w:rsidRPr="008E3A84" w:rsidRDefault="00F54EE9" w:rsidP="004C7686">
      <w:pPr>
        <w:autoSpaceDE w:val="0"/>
        <w:autoSpaceDN w:val="0"/>
        <w:adjustRightInd w:val="0"/>
        <w:ind w:firstLine="851"/>
        <w:jc w:val="both"/>
      </w:pPr>
      <w:r w:rsidRPr="008E3A84">
        <w:t>б) прямой</w:t>
      </w:r>
      <w:r w:rsidR="00E95C1D">
        <w:t xml:space="preserve"> </w:t>
      </w:r>
      <w:r w:rsidRPr="008E3A84">
        <w:t>инвестор – это предприятие или группа связанных предприятий, которые в состоянии осуществлять контроль или значительную степень влияния на другое предприятие;</w:t>
      </w:r>
    </w:p>
    <w:p w:rsidR="00F54EE9" w:rsidRPr="008E3A84" w:rsidRDefault="00F54EE9" w:rsidP="004C7686">
      <w:pPr>
        <w:autoSpaceDE w:val="0"/>
        <w:autoSpaceDN w:val="0"/>
        <w:adjustRightInd w:val="0"/>
        <w:ind w:firstLine="851"/>
        <w:jc w:val="both"/>
        <w:rPr>
          <w:sz w:val="31"/>
          <w:szCs w:val="31"/>
        </w:rPr>
      </w:pPr>
      <w:r w:rsidRPr="008E3A84">
        <w:t>в</w:t>
      </w:r>
      <w:r w:rsidR="00C9216C" w:rsidRPr="008E3A84">
        <w:t xml:space="preserve">) </w:t>
      </w:r>
      <w:r w:rsidR="00E27482" w:rsidRPr="008E3A84">
        <w:t>п</w:t>
      </w:r>
      <w:r w:rsidRPr="008E3A84">
        <w:t>редприятие</w:t>
      </w:r>
      <w:r w:rsidR="00E95C1D">
        <w:t xml:space="preserve"> </w:t>
      </w:r>
      <w:r w:rsidRPr="008E3A84">
        <w:t>прямого</w:t>
      </w:r>
      <w:r w:rsidR="00E95C1D">
        <w:t xml:space="preserve"> </w:t>
      </w:r>
      <w:r w:rsidRPr="008E3A84">
        <w:t xml:space="preserve">инвестирования – это предприятие, находящееся под контролем или значительной степенью влияния со </w:t>
      </w:r>
      <w:r w:rsidR="00E27482" w:rsidRPr="008E3A84">
        <w:t>стороны прямого инвестора;</w:t>
      </w:r>
    </w:p>
    <w:p w:rsidR="004C7686" w:rsidRPr="008E3A84" w:rsidRDefault="00356E75" w:rsidP="004C7686">
      <w:pPr>
        <w:autoSpaceDE w:val="0"/>
        <w:autoSpaceDN w:val="0"/>
        <w:adjustRightInd w:val="0"/>
        <w:ind w:firstLine="851"/>
        <w:jc w:val="both"/>
      </w:pPr>
      <w:r w:rsidRPr="008E3A84">
        <w:t>г</w:t>
      </w:r>
      <w:r w:rsidR="004C7686" w:rsidRPr="008E3A84">
        <w:t xml:space="preserve">) портфельные инвестиции </w:t>
      </w:r>
      <w:r w:rsidR="00B44FAC" w:rsidRPr="008E3A84">
        <w:t>–</w:t>
      </w:r>
      <w:r w:rsidR="004C7686" w:rsidRPr="008E3A84">
        <w:t xml:space="preserve"> покупка (продажа) акций и па</w:t>
      </w:r>
      <w:r w:rsidR="00FA2B54" w:rsidRPr="008E3A84">
        <w:t>е</w:t>
      </w:r>
      <w:r w:rsidR="004C7686" w:rsidRPr="008E3A84">
        <w:t>в, не дающих право вкладчикам влиять на деятельность организации и составляющих менее 10% в уставном (складочном) капитале организации, а также облигаций, векселей</w:t>
      </w:r>
      <w:r w:rsidR="003D0893" w:rsidRPr="008E3A84">
        <w:t xml:space="preserve"> и других долговых ценных бумаг;</w:t>
      </w:r>
    </w:p>
    <w:p w:rsidR="00356E75" w:rsidRPr="008E3A84" w:rsidRDefault="00356E75" w:rsidP="004C7686">
      <w:pPr>
        <w:autoSpaceDE w:val="0"/>
        <w:autoSpaceDN w:val="0"/>
        <w:adjustRightInd w:val="0"/>
        <w:ind w:firstLine="851"/>
        <w:jc w:val="both"/>
      </w:pPr>
      <w:r w:rsidRPr="008E3A84">
        <w:t>д</w:t>
      </w:r>
      <w:r w:rsidR="004C7686" w:rsidRPr="008E3A84">
        <w:t xml:space="preserve">) прочие инвестиции </w:t>
      </w:r>
      <w:r w:rsidR="00B44FAC" w:rsidRPr="008E3A84">
        <w:t>–</w:t>
      </w:r>
      <w:r w:rsidR="004C7686" w:rsidRPr="008E3A84">
        <w:t xml:space="preserve"> финансовые операции, не подпадающие под определение прямых или портфельных инвестиций. К </w:t>
      </w:r>
      <w:r w:rsidR="00D51E6D" w:rsidRPr="008E3A84">
        <w:t>ним относятся: кредиты и займы</w:t>
      </w:r>
      <w:r w:rsidR="00AD0EC3" w:rsidRPr="008E3A84">
        <w:t>, депозиты</w:t>
      </w:r>
      <w:r w:rsidR="00260E93" w:rsidRPr="008E3A84">
        <w:t>, прочая</w:t>
      </w:r>
      <w:r w:rsidR="00E95C1D">
        <w:t xml:space="preserve"> </w:t>
      </w:r>
      <w:r w:rsidR="00100A49" w:rsidRPr="008E3A84">
        <w:t>дебиторская (</w:t>
      </w:r>
      <w:r w:rsidR="00260E93" w:rsidRPr="008E3A84">
        <w:t>кредиторская</w:t>
      </w:r>
      <w:r w:rsidR="00100A49" w:rsidRPr="008E3A84">
        <w:t>)</w:t>
      </w:r>
      <w:r w:rsidR="00260E93" w:rsidRPr="008E3A84">
        <w:t xml:space="preserve"> задолженность</w:t>
      </w:r>
      <w:r w:rsidR="004C7686" w:rsidRPr="008E3A84">
        <w:t xml:space="preserve"> организ</w:t>
      </w:r>
      <w:r w:rsidR="003D0893" w:rsidRPr="008E3A84">
        <w:t>ации;</w:t>
      </w:r>
    </w:p>
    <w:p w:rsidR="004C7686" w:rsidRPr="008E3A84" w:rsidRDefault="00356E75" w:rsidP="004C7686">
      <w:pPr>
        <w:autoSpaceDE w:val="0"/>
        <w:autoSpaceDN w:val="0"/>
        <w:adjustRightInd w:val="0"/>
        <w:ind w:firstLine="851"/>
        <w:jc w:val="both"/>
      </w:pPr>
      <w:r w:rsidRPr="008E3A84">
        <w:rPr>
          <w:sz w:val="25"/>
          <w:szCs w:val="25"/>
        </w:rPr>
        <w:t>е) доходы от инвестиций включают поступления от финансовых активов, принадлежащих резидентам Приднестровской Молдавской Республики</w:t>
      </w:r>
      <w:r w:rsidR="00B44FAC" w:rsidRPr="008E3A84">
        <w:rPr>
          <w:sz w:val="25"/>
          <w:szCs w:val="25"/>
        </w:rPr>
        <w:t>,</w:t>
      </w:r>
      <w:r w:rsidRPr="008E3A84">
        <w:rPr>
          <w:sz w:val="25"/>
          <w:szCs w:val="25"/>
        </w:rPr>
        <w:t xml:space="preserve"> размещенных за границей, и начисления по финансовым обязательствам перед нерезидентами. Данная категория включает доходы от прямых, портфельных и прочих инвестиций. Инвестиционные доходы разделяются на диви</w:t>
      </w:r>
      <w:r w:rsidR="00A91353" w:rsidRPr="008E3A84">
        <w:rPr>
          <w:sz w:val="25"/>
          <w:szCs w:val="25"/>
        </w:rPr>
        <w:t>денды, реинвестированные доходы и</w:t>
      </w:r>
      <w:r w:rsidRPr="008E3A84">
        <w:rPr>
          <w:sz w:val="25"/>
          <w:szCs w:val="25"/>
        </w:rPr>
        <w:t xml:space="preserve"> проценты</w:t>
      </w:r>
      <w:r w:rsidR="003D0893" w:rsidRPr="008E3A84">
        <w:rPr>
          <w:sz w:val="25"/>
          <w:szCs w:val="25"/>
        </w:rPr>
        <w:t>;</w:t>
      </w:r>
    </w:p>
    <w:p w:rsidR="004C7686" w:rsidRPr="008E3A84" w:rsidRDefault="005350D4" w:rsidP="004C7686">
      <w:pPr>
        <w:autoSpaceDE w:val="0"/>
        <w:autoSpaceDN w:val="0"/>
        <w:adjustRightInd w:val="0"/>
        <w:ind w:firstLine="851"/>
        <w:jc w:val="both"/>
      </w:pPr>
      <w:r w:rsidRPr="008E3A84">
        <w:t>ж</w:t>
      </w:r>
      <w:r w:rsidR="004C7686" w:rsidRPr="008E3A84">
        <w:t xml:space="preserve">) доход от прямых и портфельных инвестиций </w:t>
      </w:r>
      <w:r w:rsidR="00B44FAC" w:rsidRPr="008E3A84">
        <w:t>–</w:t>
      </w:r>
      <w:r w:rsidR="004C7686" w:rsidRPr="008E3A84">
        <w:t xml:space="preserve"> дивиденды по долевым ценным бумагам, доход от участия в капитале, </w:t>
      </w:r>
      <w:r w:rsidR="00761941" w:rsidRPr="008E3A84">
        <w:t>проценты по кредитам и займам</w:t>
      </w:r>
      <w:r w:rsidR="00D1280F" w:rsidRPr="008E3A84">
        <w:t>,</w:t>
      </w:r>
      <w:r w:rsidR="001B2DD9">
        <w:t xml:space="preserve"> </w:t>
      </w:r>
      <w:r w:rsidR="004C7686" w:rsidRPr="008E3A84">
        <w:t>проценты по д</w:t>
      </w:r>
      <w:r w:rsidR="003D0893" w:rsidRPr="008E3A84">
        <w:t>олговым ценным бумагам</w:t>
      </w:r>
      <w:r w:rsidR="00E95C1D">
        <w:t xml:space="preserve"> </w:t>
      </w:r>
      <w:r w:rsidR="00761941" w:rsidRPr="008E3A84">
        <w:t>между</w:t>
      </w:r>
      <w:r w:rsidR="00AB2178" w:rsidRPr="008E3A84">
        <w:t xml:space="preserve"> инвест</w:t>
      </w:r>
      <w:r w:rsidR="00B44FAC" w:rsidRPr="008E3A84">
        <w:t>ором и предприятием инвестирова</w:t>
      </w:r>
      <w:r w:rsidR="00AB2178" w:rsidRPr="008E3A84">
        <w:t>ния</w:t>
      </w:r>
      <w:r w:rsidR="003D0893" w:rsidRPr="008E3A84">
        <w:t>;</w:t>
      </w:r>
    </w:p>
    <w:p w:rsidR="004C7686" w:rsidRPr="008E3A84" w:rsidRDefault="005350D4" w:rsidP="004C7686">
      <w:pPr>
        <w:autoSpaceDE w:val="0"/>
        <w:autoSpaceDN w:val="0"/>
        <w:adjustRightInd w:val="0"/>
        <w:ind w:firstLine="851"/>
        <w:jc w:val="both"/>
      </w:pPr>
      <w:r w:rsidRPr="008E3A84">
        <w:t>з</w:t>
      </w:r>
      <w:r w:rsidR="004C7686" w:rsidRPr="008E3A84">
        <w:t xml:space="preserve">) доход от прочих инвестиций </w:t>
      </w:r>
      <w:r w:rsidR="00B44FAC" w:rsidRPr="008E3A84">
        <w:t>–</w:t>
      </w:r>
      <w:r w:rsidR="004C7686" w:rsidRPr="008E3A84">
        <w:t xml:space="preserve"> проценты по кредитам и займам, проценты, начисленные по остатку средств на счетах, открытых в кредитных организациях за пределами Приднестровской Молдавской Республики, прочий процентный доход по активам, отнесенны</w:t>
      </w:r>
      <w:r w:rsidR="003D0893" w:rsidRPr="008E3A84">
        <w:t>м к категории прочих инвестиций;</w:t>
      </w:r>
    </w:p>
    <w:p w:rsidR="004C7686" w:rsidRPr="008E3A84" w:rsidRDefault="005350D4" w:rsidP="004C7686">
      <w:pPr>
        <w:autoSpaceDE w:val="0"/>
        <w:autoSpaceDN w:val="0"/>
        <w:adjustRightInd w:val="0"/>
        <w:ind w:firstLine="851"/>
        <w:jc w:val="both"/>
      </w:pPr>
      <w:r w:rsidRPr="008E3A84">
        <w:t>и</w:t>
      </w:r>
      <w:r w:rsidR="004C7686" w:rsidRPr="008E3A84">
        <w:t xml:space="preserve">) долговые ценные бумаги </w:t>
      </w:r>
      <w:r w:rsidR="00B44FAC" w:rsidRPr="008E3A84">
        <w:t>–</w:t>
      </w:r>
      <w:r w:rsidR="004C7686" w:rsidRPr="008E3A84">
        <w:t xml:space="preserve"> все виды ценных бумаг, дающие право их владельцу на возврат к определенному сроку суммы, переданной им в долг, и фиксированного дохода. Долговыми ценными бумагами являются: облигации, векселя, казначейские обязательства, сберегательные сертификаты, коммерческие бумаги, банковские депозитные сертифи</w:t>
      </w:r>
      <w:r w:rsidR="003D0893" w:rsidRPr="008E3A84">
        <w:t>каты и другие долговые расписки;</w:t>
      </w:r>
    </w:p>
    <w:p w:rsidR="004C7686" w:rsidRPr="008E3A84" w:rsidRDefault="005350D4" w:rsidP="004C7686">
      <w:pPr>
        <w:autoSpaceDE w:val="0"/>
        <w:autoSpaceDN w:val="0"/>
        <w:adjustRightInd w:val="0"/>
        <w:ind w:firstLine="851"/>
        <w:jc w:val="both"/>
      </w:pPr>
      <w:r w:rsidRPr="008E3A84">
        <w:lastRenderedPageBreak/>
        <w:t>к</w:t>
      </w:r>
      <w:r w:rsidR="004C7686" w:rsidRPr="008E3A84">
        <w:t xml:space="preserve">) долевые ценные бумаги </w:t>
      </w:r>
      <w:r w:rsidR="00B44FAC" w:rsidRPr="008E3A84">
        <w:t>–</w:t>
      </w:r>
      <w:r w:rsidR="004C7686" w:rsidRPr="008E3A84">
        <w:t xml:space="preserve"> ценные бумаги, свидетельствующие о внесении их владельцем определенной доли в капитал эмитента. К долевым ценны</w:t>
      </w:r>
      <w:r w:rsidR="003D0893" w:rsidRPr="008E3A84">
        <w:t>м бумагам относятся акции и паи;</w:t>
      </w:r>
    </w:p>
    <w:p w:rsidR="004C7686" w:rsidRPr="008E3A84" w:rsidRDefault="005350D4" w:rsidP="004C7686">
      <w:pPr>
        <w:autoSpaceDE w:val="0"/>
        <w:autoSpaceDN w:val="0"/>
        <w:adjustRightInd w:val="0"/>
        <w:ind w:firstLine="851"/>
        <w:jc w:val="both"/>
      </w:pPr>
      <w:r w:rsidRPr="008E3A84">
        <w:t>л</w:t>
      </w:r>
      <w:r w:rsidR="004C7686" w:rsidRPr="008E3A84">
        <w:t xml:space="preserve">) долгосрочный кредит </w:t>
      </w:r>
      <w:r w:rsidR="00B44FAC" w:rsidRPr="008E3A84">
        <w:t>–</w:t>
      </w:r>
      <w:r w:rsidR="004C7686" w:rsidRPr="008E3A84">
        <w:t xml:space="preserve"> кредит, пред</w:t>
      </w:r>
      <w:r w:rsidR="003D0893" w:rsidRPr="008E3A84">
        <w:t xml:space="preserve">оставляемый на срок свыше </w:t>
      </w:r>
      <w:r w:rsidR="00A9147F" w:rsidRPr="008E3A84">
        <w:t xml:space="preserve">1 </w:t>
      </w:r>
      <w:r w:rsidR="003D0893" w:rsidRPr="008E3A84">
        <w:t>года;</w:t>
      </w:r>
    </w:p>
    <w:p w:rsidR="001656DD" w:rsidRPr="008E3A84" w:rsidRDefault="005350D4" w:rsidP="004C7686">
      <w:pPr>
        <w:ind w:firstLine="851"/>
        <w:jc w:val="both"/>
      </w:pPr>
      <w:r w:rsidRPr="008E3A84">
        <w:t>м</w:t>
      </w:r>
      <w:r w:rsidR="004C7686" w:rsidRPr="008E3A84">
        <w:t xml:space="preserve">) краткосрочный </w:t>
      </w:r>
      <w:r w:rsidR="00CD7879" w:rsidRPr="008E3A84">
        <w:t xml:space="preserve">кредит </w:t>
      </w:r>
      <w:r w:rsidR="00B44FAC" w:rsidRPr="008E3A84">
        <w:t>–</w:t>
      </w:r>
      <w:r w:rsidR="00CD7879" w:rsidRPr="008E3A84">
        <w:t xml:space="preserve"> кредит, предоставляемый</w:t>
      </w:r>
      <w:r w:rsidR="004C7686" w:rsidRPr="008E3A84">
        <w:t xml:space="preserve"> на срок до 1 года включительно</w:t>
      </w:r>
      <w:r w:rsidR="00057360" w:rsidRPr="008E3A84">
        <w:t>.</w:t>
      </w:r>
    </w:p>
    <w:p w:rsidR="00057360" w:rsidRPr="008E3A84" w:rsidRDefault="00057360" w:rsidP="004C7686">
      <w:pPr>
        <w:ind w:firstLine="851"/>
        <w:jc w:val="both"/>
      </w:pPr>
    </w:p>
    <w:p w:rsidR="00057360" w:rsidRPr="008E3A84" w:rsidRDefault="00057360" w:rsidP="00057360">
      <w:pPr>
        <w:autoSpaceDE w:val="0"/>
        <w:autoSpaceDN w:val="0"/>
        <w:adjustRightInd w:val="0"/>
        <w:jc w:val="center"/>
        <w:rPr>
          <w:b/>
        </w:rPr>
      </w:pPr>
      <w:r w:rsidRPr="008E3A84">
        <w:rPr>
          <w:b/>
        </w:rPr>
        <w:t>Раздел 3. Порядок представления отч</w:t>
      </w:r>
      <w:r w:rsidR="00FA2B54" w:rsidRPr="008E3A84">
        <w:rPr>
          <w:b/>
        </w:rPr>
        <w:t>е</w:t>
      </w:r>
      <w:r w:rsidRPr="008E3A84">
        <w:rPr>
          <w:b/>
        </w:rPr>
        <w:t xml:space="preserve">та </w:t>
      </w:r>
    </w:p>
    <w:p w:rsidR="00237C41" w:rsidRDefault="00237C41" w:rsidP="00057360">
      <w:pPr>
        <w:autoSpaceDE w:val="0"/>
        <w:autoSpaceDN w:val="0"/>
        <w:adjustRightInd w:val="0"/>
        <w:ind w:firstLine="851"/>
        <w:jc w:val="both"/>
      </w:pPr>
    </w:p>
    <w:p w:rsidR="00D979C2" w:rsidRPr="008E3A84" w:rsidRDefault="00057360" w:rsidP="00057360">
      <w:pPr>
        <w:autoSpaceDE w:val="0"/>
        <w:autoSpaceDN w:val="0"/>
        <w:adjustRightInd w:val="0"/>
        <w:ind w:firstLine="851"/>
        <w:jc w:val="both"/>
      </w:pPr>
      <w:r w:rsidRPr="008E3A84">
        <w:t xml:space="preserve">3. Отчет представляется в </w:t>
      </w:r>
      <w:r w:rsidR="00C7567D" w:rsidRPr="008E3A84">
        <w:t>обслуживающий банк ежемесячно, не позднее 9</w:t>
      </w:r>
      <w:r w:rsidRPr="008E3A84">
        <w:t xml:space="preserve"> рабочего дня месяца, следующего за отчетным периодом,</w:t>
      </w:r>
      <w:r w:rsidR="00C810A3" w:rsidRPr="008E3A84">
        <w:t xml:space="preserve"> в электронном виде в соответствии с</w:t>
      </w:r>
      <w:r w:rsidR="008E706C" w:rsidRPr="008E3A84">
        <w:t>о</w:t>
      </w:r>
      <w:r w:rsidR="00E95C1D">
        <w:t xml:space="preserve"> </w:t>
      </w:r>
      <w:r w:rsidR="00C810A3" w:rsidRPr="008E3A84">
        <w:t>структурой форматного электронного документа</w:t>
      </w:r>
      <w:r w:rsidR="000E4136" w:rsidRPr="008E3A84">
        <w:t xml:space="preserve"> Отчета 3-ПБ</w:t>
      </w:r>
      <w:r w:rsidR="00C810A3" w:rsidRPr="008E3A84">
        <w:t>,</w:t>
      </w:r>
      <w:r w:rsidR="000E4136" w:rsidRPr="008E3A84">
        <w:t xml:space="preserve"> установленно</w:t>
      </w:r>
      <w:r w:rsidR="008E706C" w:rsidRPr="008E3A84">
        <w:t>го</w:t>
      </w:r>
      <w:r w:rsidR="000E4136" w:rsidRPr="008E3A84">
        <w:t xml:space="preserve"> настоящей Инструкцией,</w:t>
      </w:r>
      <w:r w:rsidR="00C810A3" w:rsidRPr="008E3A84">
        <w:t xml:space="preserve"> с использованием действующих комплексов дистанционного обслуживания кредитной организации (Клиент-Банк, Интернет-Банк и т.п</w:t>
      </w:r>
      <w:r w:rsidR="006C4E81" w:rsidRPr="008E3A84">
        <w:t xml:space="preserve">.) с целью дальнейшей передачи </w:t>
      </w:r>
      <w:r w:rsidR="00C810A3" w:rsidRPr="008E3A84">
        <w:t>информации в виде форматного электронного документа в Приднестровский республиканский банк.</w:t>
      </w:r>
    </w:p>
    <w:p w:rsidR="00E96C79" w:rsidRPr="008E3A84" w:rsidRDefault="00F16033" w:rsidP="00057360">
      <w:pPr>
        <w:autoSpaceDE w:val="0"/>
        <w:autoSpaceDN w:val="0"/>
        <w:adjustRightInd w:val="0"/>
        <w:ind w:firstLine="851"/>
        <w:jc w:val="both"/>
      </w:pPr>
      <w:r w:rsidRPr="008E3A84">
        <w:t>Обслуживающий банк</w:t>
      </w:r>
      <w:r w:rsidR="00E95C1D">
        <w:t xml:space="preserve"> </w:t>
      </w:r>
      <w:r w:rsidRPr="008E3A84">
        <w:t>передает полученную информацию в Приднестровский республиканский банк в виде</w:t>
      </w:r>
      <w:r w:rsidR="00D979C2" w:rsidRPr="008E3A84">
        <w:t xml:space="preserve"> форматного электронного документа </w:t>
      </w:r>
      <w:r w:rsidR="00826CFC" w:rsidRPr="00260030">
        <w:t>посредством системы обмена</w:t>
      </w:r>
      <w:r w:rsidR="00826CFC" w:rsidRPr="00991A1C">
        <w:t xml:space="preserve"> информационных сообщений</w:t>
      </w:r>
      <w:r w:rsidR="00826CFC">
        <w:t xml:space="preserve"> (СОИС)</w:t>
      </w:r>
      <w:r w:rsidR="008515B7" w:rsidRPr="008E3A84">
        <w:t xml:space="preserve">, </w:t>
      </w:r>
      <w:r w:rsidR="00A52726" w:rsidRPr="008E3A84">
        <w:t>по мере поступления отчетов</w:t>
      </w:r>
      <w:r w:rsidR="00237C41">
        <w:t xml:space="preserve"> </w:t>
      </w:r>
      <w:r w:rsidR="00A52726" w:rsidRPr="008E3A84">
        <w:t>в обслуживающий банк</w:t>
      </w:r>
      <w:r w:rsidR="00766BC9" w:rsidRPr="008E3A84">
        <w:t>, но не позднее 10 рабочего дня, следующего за отчетным периодом.</w:t>
      </w:r>
    </w:p>
    <w:p w:rsidR="00057360" w:rsidRPr="008E3A84" w:rsidRDefault="00057360" w:rsidP="00057360">
      <w:pPr>
        <w:autoSpaceDE w:val="0"/>
        <w:autoSpaceDN w:val="0"/>
        <w:adjustRightInd w:val="0"/>
        <w:ind w:firstLine="851"/>
        <w:jc w:val="both"/>
      </w:pPr>
      <w:r w:rsidRPr="008E3A84">
        <w:t xml:space="preserve">4. В отчет включаются все операции по </w:t>
      </w:r>
      <w:r w:rsidR="000E4136" w:rsidRPr="008E3A84">
        <w:t xml:space="preserve">каждому </w:t>
      </w:r>
      <w:r w:rsidRPr="008E3A84">
        <w:t xml:space="preserve">счету хозяйствующего субъекта, открытому за пределами Приднестровской Молдавской Республики и отражающие: </w:t>
      </w:r>
    </w:p>
    <w:p w:rsidR="00057360" w:rsidRPr="008E3A84" w:rsidRDefault="00057360" w:rsidP="00057360">
      <w:pPr>
        <w:autoSpaceDE w:val="0"/>
        <w:autoSpaceDN w:val="0"/>
        <w:adjustRightInd w:val="0"/>
        <w:ind w:firstLine="851"/>
        <w:jc w:val="both"/>
      </w:pPr>
      <w:r w:rsidRPr="008E3A84">
        <w:t xml:space="preserve">а) зачисление средств на счет по видам операций (согласно назначению платежа) в разрезе стран-контрагентов (в соответствии с кодами страны (территории) классификатора стран мира (территорий)); </w:t>
      </w:r>
    </w:p>
    <w:p w:rsidR="003F3565" w:rsidRPr="008E3A84" w:rsidRDefault="00057360" w:rsidP="00057360">
      <w:pPr>
        <w:autoSpaceDE w:val="0"/>
        <w:autoSpaceDN w:val="0"/>
        <w:adjustRightInd w:val="0"/>
        <w:ind w:firstLine="851"/>
        <w:jc w:val="both"/>
      </w:pPr>
      <w:r w:rsidRPr="008E3A84">
        <w:t>б) списание средств со счета по видам операций (согласно назначению платежа) в разрезе стран-контрагентов (в соответствии с кодами страны (территории) классификатора стран мира (территорий)).</w:t>
      </w:r>
    </w:p>
    <w:p w:rsidR="00F9368A" w:rsidRPr="008E3A84" w:rsidRDefault="00F9368A" w:rsidP="00F9368A">
      <w:pPr>
        <w:autoSpaceDE w:val="0"/>
        <w:autoSpaceDN w:val="0"/>
        <w:adjustRightInd w:val="0"/>
        <w:ind w:firstLine="851"/>
        <w:jc w:val="both"/>
      </w:pPr>
      <w:r w:rsidRPr="008E3A84">
        <w:t>5. Не допускается представление сводного отчета по нескольким счетам, открытым в одной валюте в одном иностранном банке.</w:t>
      </w:r>
    </w:p>
    <w:p w:rsidR="000468B4" w:rsidRPr="008E3A84" w:rsidRDefault="00F9368A" w:rsidP="00F9368A">
      <w:pPr>
        <w:autoSpaceDE w:val="0"/>
        <w:autoSpaceDN w:val="0"/>
        <w:adjustRightInd w:val="0"/>
        <w:ind w:firstLine="851"/>
        <w:jc w:val="both"/>
        <w:rPr>
          <w:strike/>
        </w:rPr>
      </w:pPr>
      <w:r w:rsidRPr="008E3A84">
        <w:t>6. В случае представления непол</w:t>
      </w:r>
      <w:r w:rsidR="00100A49" w:rsidRPr="008E3A84">
        <w:t>ных и (</w:t>
      </w:r>
      <w:r w:rsidRPr="008E3A84">
        <w:t>или</w:t>
      </w:r>
      <w:r w:rsidR="00100A49" w:rsidRPr="008E3A84">
        <w:t>)</w:t>
      </w:r>
      <w:r w:rsidRPr="008E3A84">
        <w:t xml:space="preserve"> ошибочных сведений</w:t>
      </w:r>
      <w:r w:rsidR="00100A49" w:rsidRPr="008E3A84">
        <w:t xml:space="preserve"> в отчете (в отчетном периоде и (</w:t>
      </w:r>
      <w:r w:rsidRPr="008E3A84">
        <w:t>или</w:t>
      </w:r>
      <w:r w:rsidR="00100A49" w:rsidRPr="008E3A84">
        <w:t>)</w:t>
      </w:r>
      <w:r w:rsidRPr="008E3A84">
        <w:t xml:space="preserve"> в предыдущих отчетных периодах) хозяйствующий субъект обязан представить в </w:t>
      </w:r>
      <w:r w:rsidR="00A3197D" w:rsidRPr="008E3A84">
        <w:t>обслуживающий банк</w:t>
      </w:r>
      <w:r w:rsidRPr="008E3A84">
        <w:t xml:space="preserve"> откорректированный отчет в течение трех рабочих дней с момента уведомления хозяйствующего субъекта о выявленных Приднестровским республиканским банком</w:t>
      </w:r>
      <w:r w:rsidR="00E95C1D">
        <w:t xml:space="preserve"> </w:t>
      </w:r>
      <w:r w:rsidRPr="008E3A84">
        <w:t>несоответствиях в форме письма, акта или иным способом</w:t>
      </w:r>
      <w:r w:rsidR="000A30E8" w:rsidRPr="008E3A84">
        <w:t>.</w:t>
      </w:r>
    </w:p>
    <w:p w:rsidR="00286645" w:rsidRPr="008E3A84" w:rsidRDefault="00FD0810" w:rsidP="00FD0810">
      <w:pPr>
        <w:autoSpaceDE w:val="0"/>
        <w:autoSpaceDN w:val="0"/>
        <w:adjustRightInd w:val="0"/>
        <w:ind w:firstLine="851"/>
        <w:jc w:val="both"/>
      </w:pPr>
      <w:r w:rsidRPr="008E3A84">
        <w:t>7. При представлении отчета позж</w:t>
      </w:r>
      <w:r w:rsidR="00100A49" w:rsidRPr="008E3A84">
        <w:t>е отчетной даты и (</w:t>
      </w:r>
      <w:r w:rsidR="00BF3BAE" w:rsidRPr="008E3A84">
        <w:t>или</w:t>
      </w:r>
      <w:r w:rsidR="00100A49" w:rsidRPr="008E3A84">
        <w:t>)</w:t>
      </w:r>
      <w:r w:rsidRPr="008E3A84">
        <w:t xml:space="preserve"> с откорректированными данными за </w:t>
      </w:r>
      <w:r w:rsidR="00BF3BAE" w:rsidRPr="008E3A84">
        <w:t>предшествующие отчетные периоды</w:t>
      </w:r>
      <w:r w:rsidR="00E95C1D">
        <w:t xml:space="preserve"> </w:t>
      </w:r>
      <w:r w:rsidR="00BF3BAE" w:rsidRPr="008E3A84">
        <w:t xml:space="preserve">отчитывающийся субъект </w:t>
      </w:r>
      <w:r w:rsidR="008440A1" w:rsidRPr="008E3A84">
        <w:t xml:space="preserve">одновременно с представлением в обслуживающий банк откорректированного отчета </w:t>
      </w:r>
      <w:r w:rsidR="00BF3BAE" w:rsidRPr="008E3A84">
        <w:t>направляет в Приднестровский республиканский банк</w:t>
      </w:r>
      <w:r w:rsidRPr="008E3A84">
        <w:t xml:space="preserve"> письменное обосно</w:t>
      </w:r>
      <w:r w:rsidR="00100A49" w:rsidRPr="008E3A84">
        <w:t xml:space="preserve">вание нарушения отчетных сроков или </w:t>
      </w:r>
      <w:r w:rsidRPr="008E3A84">
        <w:t>произведенных корректировок данных, заверенное подписями руководителя хозяйствующего субъекта или уполномоченного им лица, главного бухгалтера организации и печатью организации.</w:t>
      </w:r>
    </w:p>
    <w:p w:rsidR="00870883" w:rsidRPr="008E3A84" w:rsidRDefault="00870883" w:rsidP="00870883">
      <w:pPr>
        <w:autoSpaceDE w:val="0"/>
        <w:autoSpaceDN w:val="0"/>
        <w:adjustRightInd w:val="0"/>
        <w:jc w:val="center"/>
        <w:rPr>
          <w:b/>
        </w:rPr>
      </w:pPr>
    </w:p>
    <w:p w:rsidR="00870883" w:rsidRPr="008E3A84" w:rsidRDefault="00870883" w:rsidP="00870883">
      <w:pPr>
        <w:autoSpaceDE w:val="0"/>
        <w:autoSpaceDN w:val="0"/>
        <w:adjustRightInd w:val="0"/>
        <w:jc w:val="center"/>
        <w:rPr>
          <w:b/>
        </w:rPr>
      </w:pPr>
      <w:r w:rsidRPr="008E3A84">
        <w:rPr>
          <w:b/>
        </w:rPr>
        <w:t xml:space="preserve">Раздел 4. Порядок заполнения показателей формы 3-ПБ </w:t>
      </w:r>
    </w:p>
    <w:p w:rsidR="00870883" w:rsidRPr="008E3A84" w:rsidRDefault="00870883" w:rsidP="00870883">
      <w:pPr>
        <w:autoSpaceDE w:val="0"/>
        <w:autoSpaceDN w:val="0"/>
        <w:adjustRightInd w:val="0"/>
        <w:jc w:val="center"/>
      </w:pPr>
    </w:p>
    <w:p w:rsidR="00870883" w:rsidRPr="008E3A84" w:rsidRDefault="00870883" w:rsidP="00870883">
      <w:pPr>
        <w:autoSpaceDE w:val="0"/>
        <w:autoSpaceDN w:val="0"/>
        <w:adjustRightInd w:val="0"/>
        <w:jc w:val="center"/>
        <w:rPr>
          <w:b/>
        </w:rPr>
      </w:pPr>
      <w:r w:rsidRPr="008E3A84">
        <w:rPr>
          <w:b/>
        </w:rPr>
        <w:t xml:space="preserve">Глава 1. Структура представления отчетных данных </w:t>
      </w:r>
    </w:p>
    <w:p w:rsidR="00870883" w:rsidRPr="008E3A84" w:rsidRDefault="00870883" w:rsidP="00870883">
      <w:pPr>
        <w:autoSpaceDE w:val="0"/>
        <w:autoSpaceDN w:val="0"/>
        <w:adjustRightInd w:val="0"/>
        <w:jc w:val="center"/>
      </w:pPr>
    </w:p>
    <w:p w:rsidR="00C47DC3" w:rsidRPr="008E3A84" w:rsidRDefault="009425AC" w:rsidP="00870883">
      <w:pPr>
        <w:autoSpaceDE w:val="0"/>
        <w:autoSpaceDN w:val="0"/>
        <w:adjustRightInd w:val="0"/>
        <w:ind w:firstLine="851"/>
        <w:jc w:val="both"/>
      </w:pPr>
      <w:r w:rsidRPr="008E3A84">
        <w:t xml:space="preserve">8. Отчет составляется по каждому счету </w:t>
      </w:r>
      <w:r w:rsidR="00CE479C" w:rsidRPr="008E3A84">
        <w:t xml:space="preserve">отчитывающейся </w:t>
      </w:r>
      <w:r w:rsidRPr="008E3A84">
        <w:t>организации</w:t>
      </w:r>
      <w:r w:rsidR="006E5006" w:rsidRPr="008E3A84">
        <w:t xml:space="preserve"> в разрезе валюты счета и иностра</w:t>
      </w:r>
      <w:r w:rsidR="00FE7B82" w:rsidRPr="008E3A84">
        <w:t>нных банков,</w:t>
      </w:r>
      <w:r w:rsidR="00494AD5" w:rsidRPr="008E3A84">
        <w:t xml:space="preserve"> в которых открыты счета</w:t>
      </w:r>
      <w:r w:rsidR="00C91FD9" w:rsidRPr="008E3A84">
        <w:t xml:space="preserve"> (далее – подотчетный счет)</w:t>
      </w:r>
      <w:r w:rsidR="00494AD5" w:rsidRPr="008E3A84">
        <w:t>,с указанием</w:t>
      </w:r>
      <w:r w:rsidR="00451E8B" w:rsidRPr="008E3A84">
        <w:t xml:space="preserve"> наименования </w:t>
      </w:r>
      <w:r w:rsidR="00D47470" w:rsidRPr="008E3A84">
        <w:t xml:space="preserve">банка-нерезидента </w:t>
      </w:r>
      <w:r w:rsidR="00451E8B" w:rsidRPr="008E3A84">
        <w:t xml:space="preserve">и </w:t>
      </w:r>
      <w:r w:rsidR="00CE479C" w:rsidRPr="008E3A84">
        <w:t xml:space="preserve">страны </w:t>
      </w:r>
      <w:r w:rsidR="00D47470" w:rsidRPr="008E3A84">
        <w:t xml:space="preserve">его </w:t>
      </w:r>
      <w:r w:rsidR="00CE479C" w:rsidRPr="008E3A84">
        <w:t>местонахождения</w:t>
      </w:r>
      <w:r w:rsidR="00451E8B" w:rsidRPr="008E3A84">
        <w:t>.</w:t>
      </w:r>
    </w:p>
    <w:p w:rsidR="0081622F" w:rsidRPr="008E3A84" w:rsidRDefault="0081622F" w:rsidP="0081622F">
      <w:pPr>
        <w:autoSpaceDE w:val="0"/>
        <w:autoSpaceDN w:val="0"/>
        <w:adjustRightInd w:val="0"/>
        <w:ind w:firstLine="851"/>
        <w:jc w:val="both"/>
      </w:pPr>
      <w:r w:rsidRPr="008E3A84">
        <w:t>9. Отчет состоит из трех разделов согласно Таблице 1 «Код раздела</w:t>
      </w:r>
      <w:r w:rsidR="00221A9B" w:rsidRPr="008E3A84">
        <w:t>»</w:t>
      </w:r>
      <w:r w:rsidRPr="008E3A84">
        <w:t xml:space="preserve"> структуры форматного электронного документа </w:t>
      </w:r>
      <w:r w:rsidR="00C30A03" w:rsidRPr="008E3A84">
        <w:t>Отчета 3-ПБ</w:t>
      </w:r>
      <w:r w:rsidRPr="008E3A84">
        <w:t xml:space="preserve">: </w:t>
      </w:r>
    </w:p>
    <w:p w:rsidR="0081622F" w:rsidRPr="008E3A84" w:rsidRDefault="0081622F" w:rsidP="0081622F">
      <w:pPr>
        <w:autoSpaceDE w:val="0"/>
        <w:autoSpaceDN w:val="0"/>
        <w:adjustRightInd w:val="0"/>
        <w:ind w:firstLine="851"/>
        <w:jc w:val="both"/>
      </w:pPr>
      <w:r w:rsidRPr="008E3A84">
        <w:t xml:space="preserve">а) Раздел 1 </w:t>
      </w:r>
      <w:r w:rsidR="00221A9B" w:rsidRPr="008E3A84">
        <w:t>–</w:t>
      </w:r>
      <w:r w:rsidRPr="008E3A84">
        <w:t xml:space="preserve"> «Операции с товарами, услугами, доходами и трансфертами»; </w:t>
      </w:r>
    </w:p>
    <w:p w:rsidR="0081622F" w:rsidRPr="008E3A84" w:rsidRDefault="0081622F" w:rsidP="0081622F">
      <w:pPr>
        <w:autoSpaceDE w:val="0"/>
        <w:autoSpaceDN w:val="0"/>
        <w:adjustRightInd w:val="0"/>
        <w:ind w:firstLine="851"/>
        <w:jc w:val="both"/>
      </w:pPr>
      <w:r w:rsidRPr="008E3A84">
        <w:t xml:space="preserve">б) Раздел 2 </w:t>
      </w:r>
      <w:r w:rsidR="00221A9B" w:rsidRPr="008E3A84">
        <w:t>–</w:t>
      </w:r>
      <w:r w:rsidRPr="008E3A84">
        <w:t xml:space="preserve"> «Операции с прямыми и портфельными инвестициями»;</w:t>
      </w:r>
    </w:p>
    <w:p w:rsidR="0081622F" w:rsidRPr="008E3A84" w:rsidRDefault="0081622F" w:rsidP="0081622F">
      <w:pPr>
        <w:autoSpaceDE w:val="0"/>
        <w:autoSpaceDN w:val="0"/>
        <w:adjustRightInd w:val="0"/>
        <w:ind w:firstLine="851"/>
        <w:jc w:val="both"/>
      </w:pPr>
      <w:r w:rsidRPr="008E3A84">
        <w:t xml:space="preserve">в) Раздел 3 </w:t>
      </w:r>
      <w:r w:rsidR="00221A9B" w:rsidRPr="008E3A84">
        <w:t>–</w:t>
      </w:r>
      <w:r w:rsidRPr="008E3A84">
        <w:t xml:space="preserve"> «Опе</w:t>
      </w:r>
      <w:r w:rsidR="007351F9" w:rsidRPr="008E3A84">
        <w:t>рации с кредитами</w:t>
      </w:r>
      <w:r w:rsidRPr="008E3A84">
        <w:t>, займами, депозитами, прочие операции</w:t>
      </w:r>
      <w:r w:rsidR="001C4CB7" w:rsidRPr="008E3A84">
        <w:t>»</w:t>
      </w:r>
      <w:r w:rsidRPr="008E3A84">
        <w:t>.</w:t>
      </w:r>
    </w:p>
    <w:p w:rsidR="003F393B" w:rsidRPr="008E3A84" w:rsidRDefault="0081622F" w:rsidP="00870883">
      <w:pPr>
        <w:autoSpaceDE w:val="0"/>
        <w:autoSpaceDN w:val="0"/>
        <w:adjustRightInd w:val="0"/>
        <w:ind w:firstLine="851"/>
        <w:jc w:val="both"/>
      </w:pPr>
      <w:r w:rsidRPr="008E3A84">
        <w:lastRenderedPageBreak/>
        <w:t>10</w:t>
      </w:r>
      <w:r w:rsidR="00C47DC3" w:rsidRPr="008E3A84">
        <w:t>.</w:t>
      </w:r>
      <w:r w:rsidR="00271594">
        <w:t xml:space="preserve"> </w:t>
      </w:r>
      <w:r w:rsidR="00C91FD9" w:rsidRPr="008E3A84">
        <w:t xml:space="preserve">По каждому подотчетному счету </w:t>
      </w:r>
      <w:r w:rsidR="00160567" w:rsidRPr="008E3A84">
        <w:t xml:space="preserve">отражается </w:t>
      </w:r>
      <w:r w:rsidR="00EC7520" w:rsidRPr="008E3A84">
        <w:t>остаток валютных средств на начало и на конец отчетного месяца и обороты по сче</w:t>
      </w:r>
      <w:r w:rsidR="00953982" w:rsidRPr="008E3A84">
        <w:t>ту (зачи</w:t>
      </w:r>
      <w:r w:rsidR="00221A9B" w:rsidRPr="008E3A84">
        <w:t>сление средств на счет (</w:t>
      </w:r>
      <w:r w:rsidR="00EC7520" w:rsidRPr="008E3A84">
        <w:t xml:space="preserve">списание средств со счета) в разрезе </w:t>
      </w:r>
      <w:r w:rsidR="00AB2B9A" w:rsidRPr="008E3A84">
        <w:t>ви</w:t>
      </w:r>
      <w:r w:rsidRPr="008E3A84">
        <w:t>дов операций в соответствии с Таблицей 2</w:t>
      </w:r>
      <w:r w:rsidR="00C54A80" w:rsidRPr="008E3A84">
        <w:t xml:space="preserve"> «Код показателя» структуры фор</w:t>
      </w:r>
      <w:r w:rsidR="00C93766" w:rsidRPr="008E3A84">
        <w:t>матного электронного документа О</w:t>
      </w:r>
      <w:r w:rsidR="00C54A80" w:rsidRPr="008E3A84">
        <w:t>тчета</w:t>
      </w:r>
      <w:r w:rsidR="00C93766" w:rsidRPr="008E3A84">
        <w:t xml:space="preserve"> 3-ПБ</w:t>
      </w:r>
      <w:r w:rsidR="00C54A80" w:rsidRPr="008E3A84">
        <w:t>.</w:t>
      </w:r>
    </w:p>
    <w:p w:rsidR="00557C55" w:rsidRPr="008E3A84" w:rsidRDefault="00C47DC3" w:rsidP="00870883">
      <w:pPr>
        <w:autoSpaceDE w:val="0"/>
        <w:autoSpaceDN w:val="0"/>
        <w:adjustRightInd w:val="0"/>
        <w:ind w:firstLine="851"/>
        <w:jc w:val="both"/>
      </w:pPr>
      <w:r w:rsidRPr="008E3A84">
        <w:t>11</w:t>
      </w:r>
      <w:r w:rsidR="00910DE3" w:rsidRPr="008E3A84">
        <w:t>.</w:t>
      </w:r>
      <w:r w:rsidR="00271594">
        <w:t xml:space="preserve"> </w:t>
      </w:r>
      <w:r w:rsidR="004365A3" w:rsidRPr="008E3A84">
        <w:t xml:space="preserve">В поле отчета «Код страны назначения платежа» </w:t>
      </w:r>
      <w:r w:rsidR="00716ADB" w:rsidRPr="008E3A84">
        <w:t>указывается</w:t>
      </w:r>
      <w:r w:rsidR="00557C55" w:rsidRPr="008E3A84">
        <w:t>:</w:t>
      </w:r>
    </w:p>
    <w:p w:rsidR="00557C55" w:rsidRPr="008E3A84" w:rsidRDefault="00557C55" w:rsidP="00870883">
      <w:pPr>
        <w:autoSpaceDE w:val="0"/>
        <w:autoSpaceDN w:val="0"/>
        <w:adjustRightInd w:val="0"/>
        <w:ind w:firstLine="851"/>
        <w:jc w:val="both"/>
      </w:pPr>
      <w:r w:rsidRPr="008E3A84">
        <w:t>а) при зачислении средств на подотчетный счет –</w:t>
      </w:r>
      <w:r w:rsidR="00B16A2D" w:rsidRPr="008E3A84">
        <w:t xml:space="preserve"> код страны контрагента-</w:t>
      </w:r>
      <w:r w:rsidR="00716ADB" w:rsidRPr="008E3A84">
        <w:t>плательщика</w:t>
      </w:r>
      <w:r w:rsidR="00C401E7" w:rsidRPr="008E3A84">
        <w:t xml:space="preserve"> средств</w:t>
      </w:r>
      <w:r w:rsidRPr="008E3A84">
        <w:t>;</w:t>
      </w:r>
    </w:p>
    <w:p w:rsidR="00A0478C" w:rsidRPr="008E3A84" w:rsidRDefault="00557C55" w:rsidP="00870883">
      <w:pPr>
        <w:autoSpaceDE w:val="0"/>
        <w:autoSpaceDN w:val="0"/>
        <w:adjustRightInd w:val="0"/>
        <w:ind w:firstLine="851"/>
        <w:jc w:val="both"/>
      </w:pPr>
      <w:r w:rsidRPr="008E3A84">
        <w:t xml:space="preserve">б) при списании средств с подотчетного счета – </w:t>
      </w:r>
      <w:r w:rsidR="00B16A2D" w:rsidRPr="008E3A84">
        <w:t>страна контрагента-</w:t>
      </w:r>
      <w:r w:rsidR="00716ADB" w:rsidRPr="008E3A84">
        <w:t>получателя</w:t>
      </w:r>
      <w:r w:rsidR="00874D9B" w:rsidRPr="008E3A84">
        <w:t xml:space="preserve"> средств</w:t>
      </w:r>
      <w:r w:rsidR="009E7103" w:rsidRPr="008E3A84">
        <w:t>;</w:t>
      </w:r>
    </w:p>
    <w:p w:rsidR="009E7103" w:rsidRPr="008E3A84" w:rsidRDefault="00100A49" w:rsidP="00870883">
      <w:pPr>
        <w:autoSpaceDE w:val="0"/>
        <w:autoSpaceDN w:val="0"/>
        <w:adjustRightInd w:val="0"/>
        <w:ind w:firstLine="851"/>
        <w:jc w:val="both"/>
      </w:pPr>
      <w:r w:rsidRPr="008E3A84">
        <w:t>в) при выдаче (</w:t>
      </w:r>
      <w:r w:rsidR="009E7103" w:rsidRPr="008E3A84">
        <w:t>возврате</w:t>
      </w:r>
      <w:r w:rsidRPr="008E3A84">
        <w:t>)</w:t>
      </w:r>
      <w:r w:rsidR="009E7103" w:rsidRPr="008E3A84">
        <w:t xml:space="preserve"> денежных средств на командировочные расходы указывается </w:t>
      </w:r>
      <w:r w:rsidR="0082502B" w:rsidRPr="008E3A84">
        <w:t>код страны командирования.</w:t>
      </w:r>
    </w:p>
    <w:p w:rsidR="0046636C" w:rsidRPr="008E3A84" w:rsidRDefault="0046636C" w:rsidP="0046636C">
      <w:pPr>
        <w:autoSpaceDE w:val="0"/>
        <w:autoSpaceDN w:val="0"/>
        <w:adjustRightInd w:val="0"/>
        <w:ind w:firstLine="851"/>
        <w:jc w:val="both"/>
      </w:pPr>
      <w:r w:rsidRPr="008E3A84">
        <w:t xml:space="preserve">12. В случае если отчитывающийся субъект одновременно выступает плательщиком и получателем средств (перечисление средств с одного собственного счета на другой), регистрация таких операций в отчете в разрезе стран направления платежа имеет следующие особенности: </w:t>
      </w:r>
    </w:p>
    <w:p w:rsidR="0046636C" w:rsidRPr="008E3A84" w:rsidRDefault="0046636C" w:rsidP="0046636C">
      <w:pPr>
        <w:autoSpaceDE w:val="0"/>
        <w:autoSpaceDN w:val="0"/>
        <w:adjustRightInd w:val="0"/>
        <w:ind w:firstLine="851"/>
        <w:jc w:val="both"/>
      </w:pPr>
      <w:r w:rsidRPr="008E3A84">
        <w:t>а) при зачислении средств на подотчетный счет в поле «Код страны направления платежа» отч</w:t>
      </w:r>
      <w:r w:rsidR="00FA2B54" w:rsidRPr="008E3A84">
        <w:t>е</w:t>
      </w:r>
      <w:r w:rsidRPr="008E3A84">
        <w:t>та указывается код страны (территории) местоположения кредитной организации-нерезидента, со счетов которой списаны средства. В случае, если средства списаны со счета отчитывающейся организации, открытого в кредитной организации Приднестровской Молдавской Республики, – проставляется код «777»;</w:t>
      </w:r>
    </w:p>
    <w:p w:rsidR="0046636C" w:rsidRPr="008E3A84" w:rsidRDefault="0046636C" w:rsidP="0046636C">
      <w:pPr>
        <w:autoSpaceDE w:val="0"/>
        <w:autoSpaceDN w:val="0"/>
        <w:adjustRightInd w:val="0"/>
        <w:ind w:firstLine="851"/>
        <w:jc w:val="both"/>
      </w:pPr>
      <w:r w:rsidRPr="008E3A84">
        <w:t>б) при списании средств с подотчетного счета</w:t>
      </w:r>
      <w:r w:rsidR="00E95C1D">
        <w:t xml:space="preserve"> </w:t>
      </w:r>
      <w:r w:rsidRPr="008E3A84">
        <w:t>в поле «Код страны направления платежа» отч</w:t>
      </w:r>
      <w:r w:rsidR="00FA2B54" w:rsidRPr="008E3A84">
        <w:t>е</w:t>
      </w:r>
      <w:r w:rsidRPr="008E3A84">
        <w:t>та указывается код страны (территории) местоположения кредитной организации-нерезидента, на счета которой зачислены средства.</w:t>
      </w:r>
      <w:r w:rsidR="00E95C1D">
        <w:t xml:space="preserve"> </w:t>
      </w:r>
      <w:r w:rsidRPr="008E3A84">
        <w:t>В случае, если средства зачислены на счет отчитывающейся организа</w:t>
      </w:r>
      <w:r w:rsidR="00A800E8" w:rsidRPr="008E3A84">
        <w:t>ции в</w:t>
      </w:r>
      <w:r w:rsidRPr="008E3A84">
        <w:t xml:space="preserve"> кредитной организации Приднестровской Молдавской Республики, проставляется код «777».</w:t>
      </w:r>
    </w:p>
    <w:p w:rsidR="00A0478C" w:rsidRPr="008E3A84" w:rsidRDefault="0046636C" w:rsidP="00A0478C">
      <w:pPr>
        <w:autoSpaceDE w:val="0"/>
        <w:autoSpaceDN w:val="0"/>
        <w:adjustRightInd w:val="0"/>
        <w:ind w:firstLine="851"/>
        <w:jc w:val="both"/>
      </w:pPr>
      <w:r w:rsidRPr="008E3A84">
        <w:t>13</w:t>
      </w:r>
      <w:r w:rsidR="00874D9B" w:rsidRPr="008E3A84">
        <w:t xml:space="preserve">. </w:t>
      </w:r>
      <w:r w:rsidR="00A0478C" w:rsidRPr="008E3A84">
        <w:t>Требование хозяйствующего субъекта к дебитору-нерезиденту (иностранный актив) отражается в отч</w:t>
      </w:r>
      <w:r w:rsidR="00FA2B54" w:rsidRPr="008E3A84">
        <w:t>е</w:t>
      </w:r>
      <w:r w:rsidR="00A0478C" w:rsidRPr="008E3A84">
        <w:t xml:space="preserve">те для той страны (территории), резидентом которой являлся этот дебитор, независимо от вида валютного выражения этого требования и независимо от того, у резидента какой страны (территории) оно было приобретено. </w:t>
      </w:r>
    </w:p>
    <w:p w:rsidR="00A0478C" w:rsidRPr="008E3A84" w:rsidRDefault="0046636C" w:rsidP="00A0478C">
      <w:pPr>
        <w:autoSpaceDE w:val="0"/>
        <w:autoSpaceDN w:val="0"/>
        <w:adjustRightInd w:val="0"/>
        <w:ind w:firstLine="851"/>
        <w:jc w:val="both"/>
      </w:pPr>
      <w:r w:rsidRPr="008E3A84">
        <w:t>14</w:t>
      </w:r>
      <w:r w:rsidR="00A0478C" w:rsidRPr="008E3A84">
        <w:t>. Обязательство хозяйствующего субъекта перед кредитором-нерезидентом (иностранное обязательство) отражается в отч</w:t>
      </w:r>
      <w:r w:rsidR="00FA2B54" w:rsidRPr="008E3A84">
        <w:t>е</w:t>
      </w:r>
      <w:r w:rsidR="00A0478C" w:rsidRPr="008E3A84">
        <w:t>те для той страны (территории), резиденто</w:t>
      </w:r>
      <w:r w:rsidR="00A64EA9" w:rsidRPr="008E3A84">
        <w:t>м которой являлся этот кредитор,</w:t>
      </w:r>
      <w:r w:rsidR="00A0478C" w:rsidRPr="008E3A84">
        <w:t xml:space="preserve"> независимо от валютного выражения этого обязательства и независимо от того, резиденту какой страны (территории) оно было первоначально продано.</w:t>
      </w:r>
    </w:p>
    <w:p w:rsidR="00DD6694" w:rsidRPr="008E3A84" w:rsidRDefault="00DD6694" w:rsidP="00DD6694">
      <w:pPr>
        <w:autoSpaceDE w:val="0"/>
        <w:autoSpaceDN w:val="0"/>
        <w:adjustRightInd w:val="0"/>
        <w:ind w:firstLine="851"/>
        <w:jc w:val="both"/>
      </w:pPr>
      <w:r w:rsidRPr="008E3A84">
        <w:t xml:space="preserve">15. Показатели отчета приводятся по номиналу валюты с точностью до двух десятичных знаков после запятой. </w:t>
      </w:r>
    </w:p>
    <w:p w:rsidR="00DD6694" w:rsidRPr="008E3A84" w:rsidRDefault="00DD6694" w:rsidP="00DD6694">
      <w:pPr>
        <w:autoSpaceDE w:val="0"/>
        <w:autoSpaceDN w:val="0"/>
        <w:adjustRightInd w:val="0"/>
        <w:ind w:firstLine="851"/>
        <w:jc w:val="both"/>
      </w:pPr>
    </w:p>
    <w:p w:rsidR="00DD6694" w:rsidRPr="008E3A84" w:rsidRDefault="00DD6694" w:rsidP="00DD6694">
      <w:pPr>
        <w:autoSpaceDE w:val="0"/>
        <w:autoSpaceDN w:val="0"/>
        <w:adjustRightInd w:val="0"/>
        <w:jc w:val="center"/>
        <w:rPr>
          <w:b/>
        </w:rPr>
      </w:pPr>
      <w:r w:rsidRPr="008E3A84">
        <w:rPr>
          <w:b/>
        </w:rPr>
        <w:t>Глава 2. Порядок заполнения показателей</w:t>
      </w:r>
      <w:r w:rsidR="00EC6D6F" w:rsidRPr="008E3A84">
        <w:rPr>
          <w:b/>
        </w:rPr>
        <w:t xml:space="preserve"> по видам операций</w:t>
      </w:r>
    </w:p>
    <w:p w:rsidR="00AD07B7" w:rsidRPr="008E3A84" w:rsidRDefault="00AD07B7" w:rsidP="00AD07B7">
      <w:pPr>
        <w:autoSpaceDE w:val="0"/>
        <w:autoSpaceDN w:val="0"/>
        <w:adjustRightInd w:val="0"/>
        <w:ind w:firstLine="851"/>
        <w:jc w:val="both"/>
      </w:pPr>
    </w:p>
    <w:p w:rsidR="005F419D" w:rsidRPr="008E3A84" w:rsidRDefault="00AF5502" w:rsidP="005F419D">
      <w:pPr>
        <w:autoSpaceDE w:val="0"/>
        <w:autoSpaceDN w:val="0"/>
        <w:adjustRightInd w:val="0"/>
        <w:ind w:firstLine="851"/>
        <w:jc w:val="both"/>
        <w:rPr>
          <w:strike/>
        </w:rPr>
      </w:pPr>
      <w:r w:rsidRPr="008E3A84">
        <w:t>16.</w:t>
      </w:r>
      <w:r w:rsidR="008044EE" w:rsidRPr="008E3A84">
        <w:t xml:space="preserve"> По коду 1 «Товары» </w:t>
      </w:r>
      <w:r w:rsidR="00020968" w:rsidRPr="008E3A84">
        <w:t xml:space="preserve">отчета </w:t>
      </w:r>
      <w:r w:rsidR="008044EE" w:rsidRPr="008E3A84">
        <w:t xml:space="preserve">отражаются </w:t>
      </w:r>
      <w:r w:rsidR="005F419D" w:rsidRPr="008E3A84">
        <w:t>платежи в пользу контрагентов-нере</w:t>
      </w:r>
      <w:r w:rsidR="00100A49" w:rsidRPr="008E3A84">
        <w:t>зидентов (</w:t>
      </w:r>
      <w:r w:rsidR="005F419D" w:rsidRPr="008E3A84">
        <w:t>от контрагентов-нерезидентов</w:t>
      </w:r>
      <w:r w:rsidR="00100A49" w:rsidRPr="008E3A84">
        <w:t>)</w:t>
      </w:r>
      <w:r w:rsidR="005F419D" w:rsidRPr="008E3A84">
        <w:t xml:space="preserve"> за поставленные товары (в отпускных ценах), в том числе полученные и перечисленные авансы, возврат авансовых </w:t>
      </w:r>
      <w:r w:rsidR="00100A49" w:rsidRPr="008E3A84">
        <w:t>платежей, погашение дебиторской (</w:t>
      </w:r>
      <w:r w:rsidR="005F419D" w:rsidRPr="008E3A84">
        <w:t>кредиторской</w:t>
      </w:r>
      <w:r w:rsidR="00100A49" w:rsidRPr="008E3A84">
        <w:t>)</w:t>
      </w:r>
      <w:r w:rsidR="005F419D" w:rsidRPr="008E3A84">
        <w:t xml:space="preserve"> задо</w:t>
      </w:r>
      <w:r w:rsidR="00A800E8" w:rsidRPr="008E3A84">
        <w:t>лженности по товарным операциям.</w:t>
      </w:r>
    </w:p>
    <w:p w:rsidR="00595CE7" w:rsidRPr="008E3A84" w:rsidRDefault="005F419D" w:rsidP="00595CE7">
      <w:pPr>
        <w:autoSpaceDE w:val="0"/>
        <w:autoSpaceDN w:val="0"/>
        <w:adjustRightInd w:val="0"/>
        <w:ind w:firstLine="851"/>
        <w:jc w:val="both"/>
      </w:pPr>
      <w:r w:rsidRPr="008E3A84">
        <w:t>17. По коду 2 «Транспортные услуги, всего</w:t>
      </w:r>
      <w:r w:rsidR="002B4A7A" w:rsidRPr="008E3A84">
        <w:t>»</w:t>
      </w:r>
      <w:r w:rsidR="00020968" w:rsidRPr="008E3A84">
        <w:t xml:space="preserve"> отчета</w:t>
      </w:r>
      <w:r w:rsidR="002B4A7A" w:rsidRPr="008E3A84">
        <w:t xml:space="preserve"> отражаются платежи в п</w:t>
      </w:r>
      <w:r w:rsidR="00FA2B54" w:rsidRPr="008E3A84">
        <w:t>ользу контрагентов-нерезидентов (</w:t>
      </w:r>
      <w:r w:rsidR="002B4A7A" w:rsidRPr="008E3A84">
        <w:t>от контрагентов-нерезидентов</w:t>
      </w:r>
      <w:r w:rsidR="00FA2B54" w:rsidRPr="008E3A84">
        <w:t>)</w:t>
      </w:r>
      <w:r w:rsidR="002B4A7A" w:rsidRPr="008E3A84">
        <w:t xml:space="preserve"> за оказанные транспортные услуги грузо</w:t>
      </w:r>
      <w:r w:rsidR="005D6985" w:rsidRPr="008E3A84">
        <w:t>вым и прочими видами транспорта.</w:t>
      </w:r>
      <w:r w:rsidR="00E95C1D">
        <w:t xml:space="preserve"> </w:t>
      </w:r>
      <w:r w:rsidR="00577B72" w:rsidRPr="008E3A84">
        <w:t xml:space="preserve">Показатель по коду 2 «Транспортные услуги, всего» формируется путем сложения данных по </w:t>
      </w:r>
      <w:r w:rsidR="00595CE7" w:rsidRPr="008E3A84">
        <w:t>кодам 2.1 «Грузовые транспортные услуги» и 2.2 «Прочие транспортные услуги».</w:t>
      </w:r>
    </w:p>
    <w:p w:rsidR="004204DC" w:rsidRPr="008E3A84" w:rsidRDefault="00F82E71" w:rsidP="00A800E8">
      <w:pPr>
        <w:autoSpaceDE w:val="0"/>
        <w:autoSpaceDN w:val="0"/>
        <w:adjustRightInd w:val="0"/>
        <w:ind w:firstLine="851"/>
        <w:jc w:val="both"/>
      </w:pPr>
      <w:r w:rsidRPr="008E3A84">
        <w:t>18. По коду 2.1</w:t>
      </w:r>
      <w:r w:rsidR="002B4A7A" w:rsidRPr="008E3A84">
        <w:t xml:space="preserve"> «Грузовые транспортные услуги»</w:t>
      </w:r>
      <w:r w:rsidR="00EE6943">
        <w:t xml:space="preserve"> </w:t>
      </w:r>
      <w:r w:rsidR="00020968" w:rsidRPr="008E3A84">
        <w:t xml:space="preserve">отчета </w:t>
      </w:r>
      <w:r w:rsidR="004204DC" w:rsidRPr="008E3A84">
        <w:t>отражаются платежи за перевозку всех объектов, кроме людей, и включают транспортные услуги, предоставляемые операторами-резидентами в пользу нерезидентов (</w:t>
      </w:r>
      <w:r w:rsidR="00AA2F9F" w:rsidRPr="008E3A84">
        <w:t xml:space="preserve">зачисление средств </w:t>
      </w:r>
      <w:r w:rsidR="002108D7" w:rsidRPr="008E3A84">
        <w:t xml:space="preserve">в оплату </w:t>
      </w:r>
      <w:r w:rsidR="00AA2F9F" w:rsidRPr="008E3A84">
        <w:t>на</w:t>
      </w:r>
      <w:r w:rsidR="002852A7" w:rsidRPr="008E3A84">
        <w:t xml:space="preserve"> подо</w:t>
      </w:r>
      <w:r w:rsidR="00AA2F9F" w:rsidRPr="008E3A84">
        <w:t>тчетный счет</w:t>
      </w:r>
      <w:r w:rsidR="004204DC" w:rsidRPr="008E3A84">
        <w:t>), и операторами-нерезидентами в пользу резидентов (</w:t>
      </w:r>
      <w:r w:rsidR="00CB12B6" w:rsidRPr="008E3A84">
        <w:t>списание средств в оплату с подотчетного счета</w:t>
      </w:r>
      <w:r w:rsidR="002108D7" w:rsidRPr="008E3A84">
        <w:t>).</w:t>
      </w:r>
    </w:p>
    <w:p w:rsidR="00B60125" w:rsidRPr="008E3A84" w:rsidRDefault="00B60125" w:rsidP="00A800E8">
      <w:pPr>
        <w:autoSpaceDE w:val="0"/>
        <w:autoSpaceDN w:val="0"/>
        <w:adjustRightInd w:val="0"/>
        <w:ind w:firstLine="851"/>
        <w:jc w:val="both"/>
      </w:pPr>
      <w:r w:rsidRPr="008E3A84">
        <w:t xml:space="preserve">19. По коду 2.2 «Прочие транспортные услуги» </w:t>
      </w:r>
      <w:r w:rsidR="00020968" w:rsidRPr="008E3A84">
        <w:t xml:space="preserve">отчета </w:t>
      </w:r>
      <w:r w:rsidRPr="008E3A84">
        <w:t xml:space="preserve">отражаются </w:t>
      </w:r>
      <w:r w:rsidR="005D6985" w:rsidRPr="008E3A84">
        <w:t xml:space="preserve">платежи за </w:t>
      </w:r>
      <w:r w:rsidRPr="008E3A84">
        <w:t xml:space="preserve">сопутствующие и вспомогательные услуги, в том числе аренда транспортных средств вместе с экипажами, а также складирование, погрузка, разгрузка, техническое обслуживание </w:t>
      </w:r>
      <w:r w:rsidRPr="008E3A84">
        <w:lastRenderedPageBreak/>
        <w:t>транспортных средств, лоцманские услуги, комиссионные выплаты, агентские услуги, связанные с грузовыми перевозками. Услуги, связанные с более чем одним видом транспорта, которые невозможно отнести к какому-либо конкретному виду транспорта, учитываются в этой же категории транспортных услуг.</w:t>
      </w:r>
    </w:p>
    <w:p w:rsidR="00390EBD" w:rsidRPr="008E3A84" w:rsidRDefault="00390EBD" w:rsidP="00E405E4">
      <w:pPr>
        <w:autoSpaceDE w:val="0"/>
        <w:autoSpaceDN w:val="0"/>
        <w:adjustRightInd w:val="0"/>
        <w:ind w:firstLine="851"/>
        <w:jc w:val="both"/>
      </w:pPr>
      <w:r w:rsidRPr="008E3A84">
        <w:rPr>
          <w:rFonts w:ascii="MinionPro-Regular" w:hAnsi="MinionPro-Regular"/>
        </w:rPr>
        <w:t xml:space="preserve">20. </w:t>
      </w:r>
      <w:r w:rsidR="00BD517D" w:rsidRPr="008E3A84">
        <w:rPr>
          <w:rFonts w:ascii="MinionPro-Regular" w:hAnsi="MinionPro-Regular"/>
        </w:rPr>
        <w:t xml:space="preserve">По коду 3 </w:t>
      </w:r>
      <w:r w:rsidR="00BD517D" w:rsidRPr="008E3A84">
        <w:t>«Поездки деловые»</w:t>
      </w:r>
      <w:r w:rsidR="008343A1">
        <w:t xml:space="preserve"> </w:t>
      </w:r>
      <w:r w:rsidR="00E405E4" w:rsidRPr="008E3A84">
        <w:t xml:space="preserve">отчета </w:t>
      </w:r>
      <w:r w:rsidR="00190AC1" w:rsidRPr="008E3A84">
        <w:t>преимущественно отражаются расходы на деловые поездки – командировки, а также</w:t>
      </w:r>
      <w:r w:rsidR="00E95C1D">
        <w:t xml:space="preserve"> </w:t>
      </w:r>
      <w:r w:rsidR="00AD3CBC" w:rsidRPr="008E3A84">
        <w:t>расходы, возмещаемые хозяйствующим субъектом, по делам которого совершается поездка в данную страну, на товары, услуги и другие нужды лиц, направляющихся за границу для осуществления разных видов хозяйственной деятельности с целью реализации продукции, изучения рынка, ведения торговых переговоров, участия в миссиях, осуществления производственной деятельности, выполнения наладочных работ, либо участия в любой другой деятельности, осуществляемой ими в стране пребывания</w:t>
      </w:r>
      <w:r w:rsidR="00E405E4" w:rsidRPr="008E3A84">
        <w:t>.</w:t>
      </w:r>
    </w:p>
    <w:p w:rsidR="00C479B2" w:rsidRPr="008E3A84" w:rsidRDefault="00E405E4" w:rsidP="00E96FD4">
      <w:pPr>
        <w:autoSpaceDE w:val="0"/>
        <w:autoSpaceDN w:val="0"/>
        <w:adjustRightInd w:val="0"/>
        <w:ind w:firstLine="851"/>
        <w:jc w:val="both"/>
      </w:pPr>
      <w:r w:rsidRPr="008E3A84">
        <w:t>21. По коду 4 «Обработка материальных ресурсов, не принадлежащих</w:t>
      </w:r>
      <w:r w:rsidR="0094599F" w:rsidRPr="008E3A84">
        <w:t xml:space="preserve"> другим сторонам (переработка давальческого сырья)</w:t>
      </w:r>
      <w:r w:rsidRPr="008E3A84">
        <w:t>»</w:t>
      </w:r>
      <w:r w:rsidR="00C479B2" w:rsidRPr="008E3A84">
        <w:t xml:space="preserve"> отражаются платежи за обработку, сборку, маркировку, упаковку и т.д., производимые организациями, которым не принадлежат соответствующие товары. Услуги по обработке охватывают две категории: </w:t>
      </w:r>
    </w:p>
    <w:p w:rsidR="00C479B2" w:rsidRPr="008E3A84" w:rsidRDefault="00C479B2" w:rsidP="00C479B2">
      <w:pPr>
        <w:ind w:firstLine="567"/>
        <w:jc w:val="both"/>
        <w:rPr>
          <w:bCs/>
        </w:rPr>
      </w:pPr>
      <w:r w:rsidRPr="008E3A84">
        <w:t xml:space="preserve">а) </w:t>
      </w:r>
      <w:r w:rsidR="00E458B5" w:rsidRPr="008E3A84">
        <w:t xml:space="preserve">платежи за </w:t>
      </w:r>
      <w:r w:rsidR="00A3607F" w:rsidRPr="008E3A84">
        <w:rPr>
          <w:bCs/>
        </w:rPr>
        <w:t xml:space="preserve">обработку </w:t>
      </w:r>
      <w:r w:rsidR="005D415D" w:rsidRPr="008E3A84">
        <w:rPr>
          <w:bCs/>
        </w:rPr>
        <w:t>товаров</w:t>
      </w:r>
      <w:r w:rsidRPr="008E3A84">
        <w:rPr>
          <w:bCs/>
        </w:rPr>
        <w:t xml:space="preserve"> в Приднестровской </w:t>
      </w:r>
      <w:r w:rsidR="005D415D" w:rsidRPr="008E3A84">
        <w:rPr>
          <w:bCs/>
        </w:rPr>
        <w:t>Молдавской Республике – зачисление средств на подотчетный счет</w:t>
      </w:r>
      <w:r w:rsidRPr="008E3A84">
        <w:rPr>
          <w:bCs/>
        </w:rPr>
        <w:t>;</w:t>
      </w:r>
    </w:p>
    <w:p w:rsidR="00C479B2" w:rsidRPr="008E3A84" w:rsidRDefault="00C479B2" w:rsidP="00C479B2">
      <w:pPr>
        <w:ind w:firstLine="567"/>
        <w:jc w:val="both"/>
        <w:rPr>
          <w:bCs/>
        </w:rPr>
      </w:pPr>
      <w:r w:rsidRPr="008E3A84">
        <w:rPr>
          <w:bCs/>
        </w:rPr>
        <w:t xml:space="preserve">б) </w:t>
      </w:r>
      <w:r w:rsidR="00501B11" w:rsidRPr="008E3A84">
        <w:rPr>
          <w:bCs/>
        </w:rPr>
        <w:t xml:space="preserve">платежи за </w:t>
      </w:r>
      <w:r w:rsidR="00A3607F" w:rsidRPr="008E3A84">
        <w:rPr>
          <w:bCs/>
        </w:rPr>
        <w:t>обработку</w:t>
      </w:r>
      <w:r w:rsidR="00501B11" w:rsidRPr="008E3A84">
        <w:rPr>
          <w:bCs/>
        </w:rPr>
        <w:t xml:space="preserve"> товаров за границей </w:t>
      </w:r>
      <w:r w:rsidR="00501B11" w:rsidRPr="008E3A84">
        <w:rPr>
          <w:bCs/>
        </w:rPr>
        <w:softHyphen/>
        <w:t>– списание средств с подотчетного счета.</w:t>
      </w:r>
    </w:p>
    <w:p w:rsidR="0097460A" w:rsidRPr="008E3A84" w:rsidRDefault="00501B11" w:rsidP="003B6696">
      <w:pPr>
        <w:autoSpaceDE w:val="0"/>
        <w:autoSpaceDN w:val="0"/>
        <w:adjustRightInd w:val="0"/>
        <w:ind w:firstLine="851"/>
        <w:jc w:val="both"/>
      </w:pPr>
      <w:r w:rsidRPr="008E3A84">
        <w:rPr>
          <w:bCs/>
        </w:rPr>
        <w:t xml:space="preserve">22. </w:t>
      </w:r>
      <w:r w:rsidR="00373F47" w:rsidRPr="008E3A84">
        <w:rPr>
          <w:bCs/>
        </w:rPr>
        <w:t xml:space="preserve">По коду 5 «Услуги связи» отчета отражаются платежи </w:t>
      </w:r>
      <w:r w:rsidR="003B6696" w:rsidRPr="008E3A84">
        <w:t xml:space="preserve">за услуги в области телекоммуникаций (телефон, телекс, факс, телеграф, радио, </w:t>
      </w:r>
      <w:r w:rsidR="00E95C1D">
        <w:t>И</w:t>
      </w:r>
      <w:r w:rsidR="007F70D0" w:rsidRPr="008E3A84">
        <w:t>нтернет,</w:t>
      </w:r>
      <w:r w:rsidR="00E95C1D">
        <w:t xml:space="preserve"> </w:t>
      </w:r>
      <w:r w:rsidR="003B6696" w:rsidRPr="008E3A84">
        <w:t>электронная почта, спутниковая, факсимильная и телевизионная связь и др.), а также почтовые и курьерские услуги.</w:t>
      </w:r>
    </w:p>
    <w:p w:rsidR="00547638" w:rsidRPr="008E3A84" w:rsidRDefault="0097460A" w:rsidP="00E96FD4">
      <w:pPr>
        <w:autoSpaceDE w:val="0"/>
        <w:autoSpaceDN w:val="0"/>
        <w:adjustRightInd w:val="0"/>
        <w:ind w:firstLine="851"/>
        <w:jc w:val="both"/>
      </w:pPr>
      <w:r w:rsidRPr="008E3A84">
        <w:t xml:space="preserve">23. </w:t>
      </w:r>
      <w:r w:rsidR="00D80868" w:rsidRPr="008E3A84">
        <w:t>По коду 6 «Строительные услуги» отчета отражаются</w:t>
      </w:r>
      <w:r w:rsidR="00533D7E" w:rsidRPr="008E3A84">
        <w:t xml:space="preserve"> платежи</w:t>
      </w:r>
      <w:r w:rsidR="00E95C1D">
        <w:t xml:space="preserve"> </w:t>
      </w:r>
      <w:r w:rsidR="00533D7E" w:rsidRPr="008E3A84">
        <w:t>за строительные и монтажные работы, произведенные по заказу отчитывающегося субъекта строите</w:t>
      </w:r>
      <w:r w:rsidR="00100A49" w:rsidRPr="008E3A84">
        <w:t>льными компаниями-нерезидентами (</w:t>
      </w:r>
      <w:r w:rsidR="00533D7E" w:rsidRPr="008E3A84">
        <w:t>отчитывающимся субъектом</w:t>
      </w:r>
      <w:r w:rsidR="00100A49" w:rsidRPr="008E3A84">
        <w:t>)</w:t>
      </w:r>
      <w:r w:rsidR="00533D7E" w:rsidRPr="008E3A84">
        <w:t xml:space="preserve"> в пользу </w:t>
      </w:r>
      <w:r w:rsidR="00D3142D" w:rsidRPr="008E3A84">
        <w:t>нерезидентов.</w:t>
      </w:r>
      <w:r w:rsidR="00E95C1D">
        <w:t xml:space="preserve"> </w:t>
      </w:r>
      <w:r w:rsidR="00547638" w:rsidRPr="008E3A84">
        <w:t>Данная категория охватывает создание, восстановление, ремонт, продление срока эксплуатации капитальных активов. Сюда также включаются смежные монтажные и сборочные работы, подготовка стройплощадки и общие строительные работы, а также специализированные услуги, такие как покраска, установка водопроводно-канализационных систем и снос.</w:t>
      </w:r>
    </w:p>
    <w:p w:rsidR="0095327C" w:rsidRPr="008E3A84" w:rsidRDefault="00547638" w:rsidP="00004A46">
      <w:pPr>
        <w:autoSpaceDE w:val="0"/>
        <w:autoSpaceDN w:val="0"/>
        <w:adjustRightInd w:val="0"/>
        <w:ind w:firstLine="851"/>
        <w:jc w:val="both"/>
      </w:pPr>
      <w:r w:rsidRPr="008E3A84">
        <w:t>24.</w:t>
      </w:r>
      <w:r w:rsidR="000B690C">
        <w:t xml:space="preserve"> </w:t>
      </w:r>
      <w:r w:rsidR="00784B4C" w:rsidRPr="008E3A84">
        <w:t xml:space="preserve">По коду 7 </w:t>
      </w:r>
      <w:r w:rsidR="00784B4C" w:rsidRPr="008E3A84">
        <w:rPr>
          <w:bCs/>
        </w:rPr>
        <w:t>«</w:t>
      </w:r>
      <w:r w:rsidR="005811D3" w:rsidRPr="008E3A84">
        <w:rPr>
          <w:bCs/>
        </w:rPr>
        <w:t>Страховые услуги</w:t>
      </w:r>
      <w:r w:rsidR="00784B4C" w:rsidRPr="008E3A84">
        <w:rPr>
          <w:bCs/>
        </w:rPr>
        <w:t>»</w:t>
      </w:r>
      <w:r w:rsidR="00F033C1" w:rsidRPr="00F033C1">
        <w:rPr>
          <w:bCs/>
        </w:rPr>
        <w:t xml:space="preserve"> </w:t>
      </w:r>
      <w:r w:rsidR="00070DE4" w:rsidRPr="008E3A84">
        <w:rPr>
          <w:bCs/>
        </w:rPr>
        <w:t xml:space="preserve">отчета </w:t>
      </w:r>
      <w:r w:rsidR="00004A46" w:rsidRPr="008E3A84">
        <w:rPr>
          <w:bCs/>
        </w:rPr>
        <w:t>отражаются платежи за</w:t>
      </w:r>
      <w:r w:rsidR="00004A46" w:rsidRPr="008E3A84">
        <w:t xml:space="preserve"> различные виды страхования, осуществляемые страховыми компаниями-нерезидентами для отчитывающегося хозяйствующего субъекта, а также страховые возмещения.</w:t>
      </w:r>
    </w:p>
    <w:p w:rsidR="00122A9B" w:rsidRPr="008E3A84" w:rsidRDefault="0095327C" w:rsidP="00122A9B">
      <w:pPr>
        <w:autoSpaceDE w:val="0"/>
        <w:autoSpaceDN w:val="0"/>
        <w:adjustRightInd w:val="0"/>
        <w:ind w:firstLine="851"/>
        <w:jc w:val="both"/>
      </w:pPr>
      <w:r w:rsidRPr="008E3A84">
        <w:t xml:space="preserve">25. По коду 8 </w:t>
      </w:r>
      <w:r w:rsidRPr="008E3A84">
        <w:rPr>
          <w:bCs/>
        </w:rPr>
        <w:t>«</w:t>
      </w:r>
      <w:r w:rsidR="004A6A9C" w:rsidRPr="008E3A84">
        <w:rPr>
          <w:bCs/>
        </w:rPr>
        <w:t>Финансовые</w:t>
      </w:r>
      <w:r w:rsidRPr="008E3A84">
        <w:rPr>
          <w:bCs/>
        </w:rPr>
        <w:t xml:space="preserve"> услуги» </w:t>
      </w:r>
      <w:r w:rsidR="00070DE4" w:rsidRPr="008E3A84">
        <w:rPr>
          <w:bCs/>
        </w:rPr>
        <w:t xml:space="preserve">отчета </w:t>
      </w:r>
      <w:r w:rsidR="00551F3D" w:rsidRPr="008E3A84">
        <w:rPr>
          <w:bCs/>
        </w:rPr>
        <w:t xml:space="preserve">отражаются платежи за </w:t>
      </w:r>
      <w:r w:rsidR="00122A9B" w:rsidRPr="008E3A84">
        <w:t>обслуживание кредитных линий, аккредитивов, банковских акцептов, комиссионные платежи за банковские расчеты, за операции с депозитами и ценными бумагами, управление активами и т.п.</w:t>
      </w:r>
    </w:p>
    <w:p w:rsidR="00411907" w:rsidRPr="008E3A84" w:rsidRDefault="00122A9B" w:rsidP="00411907">
      <w:pPr>
        <w:autoSpaceDE w:val="0"/>
        <w:autoSpaceDN w:val="0"/>
        <w:adjustRightInd w:val="0"/>
        <w:ind w:firstLine="851"/>
        <w:jc w:val="both"/>
      </w:pPr>
      <w:r w:rsidRPr="008E3A84">
        <w:t xml:space="preserve">26. По коду 9 </w:t>
      </w:r>
      <w:r w:rsidRPr="008E3A84">
        <w:rPr>
          <w:bCs/>
        </w:rPr>
        <w:t>«</w:t>
      </w:r>
      <w:r w:rsidR="00AC373F" w:rsidRPr="008E3A84">
        <w:rPr>
          <w:bCs/>
        </w:rPr>
        <w:t>Информационные</w:t>
      </w:r>
      <w:r w:rsidRPr="008E3A84">
        <w:rPr>
          <w:bCs/>
        </w:rPr>
        <w:t xml:space="preserve"> услуги»</w:t>
      </w:r>
      <w:r w:rsidR="00F033C1" w:rsidRPr="00F033C1">
        <w:rPr>
          <w:bCs/>
        </w:rPr>
        <w:t xml:space="preserve"> </w:t>
      </w:r>
      <w:r w:rsidR="00070DE4" w:rsidRPr="008E3A84">
        <w:rPr>
          <w:bCs/>
        </w:rPr>
        <w:t xml:space="preserve">отчета </w:t>
      </w:r>
      <w:r w:rsidR="00AC373F" w:rsidRPr="008E3A84">
        <w:rPr>
          <w:bCs/>
        </w:rPr>
        <w:t>отражаются платежи за</w:t>
      </w:r>
      <w:r w:rsidR="00E95C1D">
        <w:rPr>
          <w:bCs/>
        </w:rPr>
        <w:t xml:space="preserve"> </w:t>
      </w:r>
      <w:r w:rsidR="00651EB6" w:rsidRPr="008E3A84">
        <w:t>услуги по обработке баз</w:t>
      </w:r>
      <w:r w:rsidR="00411907" w:rsidRPr="008E3A84">
        <w:t xml:space="preserve"> данных, внедрению программного обеспечения, включая разработку и программирование конкретных систем заказчика, управлению вычислительными комплексами</w:t>
      </w:r>
      <w:r w:rsidR="00E95C1D">
        <w:t xml:space="preserve"> </w:t>
      </w:r>
      <w:r w:rsidR="0093201D" w:rsidRPr="008E3A84">
        <w:t>и информационными системами,</w:t>
      </w:r>
      <w:r w:rsidR="00411907" w:rsidRPr="008E3A84">
        <w:t xml:space="preserve"> консультации в </w:t>
      </w:r>
      <w:r w:rsidR="00651EB6" w:rsidRPr="008E3A84">
        <w:t>области эксплуатации и ремонта</w:t>
      </w:r>
      <w:r w:rsidR="00411907" w:rsidRPr="008E3A84">
        <w:t xml:space="preserve"> вычислительной техники, ремонт вычислительной техники, услуги информационных агентств. </w:t>
      </w:r>
    </w:p>
    <w:p w:rsidR="00004A46" w:rsidRPr="008E3A84" w:rsidRDefault="00411907" w:rsidP="00E96FD4">
      <w:pPr>
        <w:autoSpaceDE w:val="0"/>
        <w:autoSpaceDN w:val="0"/>
        <w:adjustRightInd w:val="0"/>
        <w:ind w:firstLine="851"/>
        <w:jc w:val="both"/>
      </w:pPr>
      <w:r w:rsidRPr="008E3A84">
        <w:t>27.</w:t>
      </w:r>
      <w:r w:rsidR="0093201D" w:rsidRPr="008E3A84">
        <w:t xml:space="preserve"> По коду 10 «Лицензионные услуги» </w:t>
      </w:r>
      <w:r w:rsidR="00CF28D6" w:rsidRPr="008E3A84">
        <w:t xml:space="preserve">отчета </w:t>
      </w:r>
      <w:r w:rsidR="0093201D" w:rsidRPr="008E3A84">
        <w:t xml:space="preserve">отражаются платежи </w:t>
      </w:r>
      <w:r w:rsidR="005B36BC" w:rsidRPr="008E3A84">
        <w:t>за пользование на законных основаниях лицензиями, авторскими правами, патентами, торговыми марками и другими нефинансовыми акт</w:t>
      </w:r>
      <w:r w:rsidR="0069006D" w:rsidRPr="008E3A84">
        <w:t>ивами нематериального характера,</w:t>
      </w:r>
      <w:r w:rsidR="00E95C1D">
        <w:t xml:space="preserve"> </w:t>
      </w:r>
      <w:r w:rsidR="0069006D" w:rsidRPr="008E3A84">
        <w:t>а также иные платежи за пользование интеллектуальной собственностью, не отнесенные к другим категориям.</w:t>
      </w:r>
    </w:p>
    <w:p w:rsidR="00E539B4" w:rsidRPr="008E3A84" w:rsidRDefault="0069006D" w:rsidP="005E6F66">
      <w:pPr>
        <w:autoSpaceDE w:val="0"/>
        <w:autoSpaceDN w:val="0"/>
        <w:adjustRightInd w:val="0"/>
        <w:ind w:firstLine="851"/>
        <w:jc w:val="both"/>
      </w:pPr>
      <w:r w:rsidRPr="008E3A84">
        <w:t>28. По коду 11 «</w:t>
      </w:r>
      <w:r w:rsidR="007F70D0" w:rsidRPr="008E3A84">
        <w:t>Прочие</w:t>
      </w:r>
      <w:r w:rsidRPr="008E3A84">
        <w:t xml:space="preserve"> услуги» </w:t>
      </w:r>
      <w:r w:rsidR="00070DE4" w:rsidRPr="008E3A84">
        <w:t xml:space="preserve">отчета </w:t>
      </w:r>
      <w:r w:rsidRPr="008E3A84">
        <w:t>отражаются платежи</w:t>
      </w:r>
      <w:r w:rsidR="00070DE4" w:rsidRPr="008E3A84">
        <w:t xml:space="preserve"> за иные виды услуг, не включенные в др</w:t>
      </w:r>
      <w:r w:rsidR="00E539B4" w:rsidRPr="008E3A84">
        <w:t>угие категории. К ним относятся услуги в области рекламы и маркетинга, проведение выставок и торговых ярмарок, в области архитектуры, инженерии и геологоразведки,</w:t>
      </w:r>
      <w:r w:rsidR="00CE7587" w:rsidRPr="008E3A84">
        <w:t xml:space="preserve"> услуги в сфере</w:t>
      </w:r>
      <w:r w:rsidR="00E539B4" w:rsidRPr="008E3A84">
        <w:t xml:space="preserve"> культуры, спорта, развлечений, а также операционный лизинг,</w:t>
      </w:r>
      <w:r w:rsidR="00CE7587" w:rsidRPr="008E3A84">
        <w:t xml:space="preserve"> агентские услуги,</w:t>
      </w:r>
      <w:r w:rsidR="00E539B4" w:rsidRPr="008E3A84">
        <w:t xml:space="preserve"> научные исследования и опытно-конструкторские разработки, сертификация качества продукции, технический контроль, услуги по подготовке документов и консалтинг, услуги в сфере сельского хозяйства, добычи полезных ископаемых, услуги по подбору кадров, письменного и устного перевода, услуги операционного лизинга</w:t>
      </w:r>
      <w:r w:rsidR="00CE7587" w:rsidRPr="008E3A84">
        <w:t>, услуги таможенных брокеров</w:t>
      </w:r>
      <w:r w:rsidR="00E539B4" w:rsidRPr="008E3A84">
        <w:t xml:space="preserve"> и др.</w:t>
      </w:r>
    </w:p>
    <w:p w:rsidR="00D525FC" w:rsidRPr="008E3A84" w:rsidRDefault="000F3099" w:rsidP="000A5846">
      <w:pPr>
        <w:autoSpaceDE w:val="0"/>
        <w:autoSpaceDN w:val="0"/>
        <w:adjustRightInd w:val="0"/>
        <w:ind w:firstLine="851"/>
        <w:jc w:val="both"/>
      </w:pPr>
      <w:r w:rsidRPr="008E3A84">
        <w:lastRenderedPageBreak/>
        <w:t>29</w:t>
      </w:r>
      <w:r w:rsidR="00CF28D6" w:rsidRPr="008E3A84">
        <w:t xml:space="preserve">. </w:t>
      </w:r>
      <w:r w:rsidR="00BE3020" w:rsidRPr="008E3A84">
        <w:t>По коду 12</w:t>
      </w:r>
      <w:r w:rsidR="000B690C">
        <w:t xml:space="preserve"> </w:t>
      </w:r>
      <w:r w:rsidR="00CF28D6" w:rsidRPr="008E3A84">
        <w:rPr>
          <w:bCs/>
        </w:rPr>
        <w:t>«</w:t>
      </w:r>
      <w:r w:rsidR="00BE3020" w:rsidRPr="008E3A84">
        <w:rPr>
          <w:bCs/>
        </w:rPr>
        <w:t>Доходы от прямых и портфельных инвестиций, всего</w:t>
      </w:r>
      <w:r w:rsidR="00876035" w:rsidRPr="008E3A84">
        <w:rPr>
          <w:bCs/>
        </w:rPr>
        <w:t>»</w:t>
      </w:r>
      <w:r w:rsidR="00BE3020" w:rsidRPr="008E3A84">
        <w:rPr>
          <w:bCs/>
        </w:rPr>
        <w:t xml:space="preserve"> отчета</w:t>
      </w:r>
      <w:r w:rsidR="00E95C1D">
        <w:rPr>
          <w:bCs/>
        </w:rPr>
        <w:t xml:space="preserve"> </w:t>
      </w:r>
      <w:r w:rsidR="00100A49" w:rsidRPr="008E3A84">
        <w:t>отражае</w:t>
      </w:r>
      <w:r w:rsidR="00DD408A" w:rsidRPr="008E3A84">
        <w:t>тся</w:t>
      </w:r>
      <w:r w:rsidR="00100A49" w:rsidRPr="008E3A84">
        <w:t xml:space="preserve"> полученный (выплаченный) доход </w:t>
      </w:r>
      <w:r w:rsidR="00DD408A" w:rsidRPr="008E3A84">
        <w:t>от владения иностранными финансовыми активами в виде прямых и портфельных инвестиций.</w:t>
      </w:r>
      <w:r w:rsidR="000A5846" w:rsidRPr="008E3A84">
        <w:t xml:space="preserve"> Показатель по коду 12 «</w:t>
      </w:r>
      <w:r w:rsidR="000A5846" w:rsidRPr="008E3A84">
        <w:rPr>
          <w:bCs/>
        </w:rPr>
        <w:t>Доходы от прямых и портфельных инвестиций, всего</w:t>
      </w:r>
      <w:r w:rsidR="000A5846" w:rsidRPr="008E3A84">
        <w:t>» формируется путем сложения данных по кодам 12.1 «Доходы от прямых инвестиций – дивиденды</w:t>
      </w:r>
      <w:r w:rsidR="00CB30C2" w:rsidRPr="008E3A84">
        <w:t>»,1</w:t>
      </w:r>
      <w:r w:rsidR="000A5846" w:rsidRPr="008E3A84">
        <w:t>2.2 «</w:t>
      </w:r>
      <w:r w:rsidR="00CB30C2" w:rsidRPr="008E3A84">
        <w:t>Доходы от прямых инвестиций – проценты», 12.3</w:t>
      </w:r>
      <w:r w:rsidR="00E542A8" w:rsidRPr="008E3A84">
        <w:t xml:space="preserve"> «Доходы от портфельных инвестиций – дивиденды», 12.4 «Доходы от портфельных инвестиций – проценты»</w:t>
      </w:r>
      <w:r w:rsidR="00D525FC" w:rsidRPr="008E3A84">
        <w:t>.</w:t>
      </w:r>
    </w:p>
    <w:p w:rsidR="00FC12EC" w:rsidRPr="008E3A84" w:rsidRDefault="00D525FC" w:rsidP="00FC12EC">
      <w:pPr>
        <w:autoSpaceDE w:val="0"/>
        <w:autoSpaceDN w:val="0"/>
        <w:adjustRightInd w:val="0"/>
        <w:ind w:firstLine="851"/>
        <w:jc w:val="both"/>
      </w:pPr>
      <w:r w:rsidRPr="008E3A84">
        <w:t xml:space="preserve">30. </w:t>
      </w:r>
      <w:r w:rsidR="008A62F0" w:rsidRPr="008E3A84">
        <w:t>По коду 12.</w:t>
      </w:r>
      <w:r w:rsidR="00BD061F" w:rsidRPr="008E3A84">
        <w:t xml:space="preserve">1 «Доходы от прямых инвестиций – дивиденды» отчета </w:t>
      </w:r>
      <w:r w:rsidR="00235DBD" w:rsidRPr="008E3A84">
        <w:t>о</w:t>
      </w:r>
      <w:r w:rsidR="00327BAF" w:rsidRPr="008E3A84">
        <w:t>тражае</w:t>
      </w:r>
      <w:r w:rsidR="00427584" w:rsidRPr="008E3A84">
        <w:t>т</w:t>
      </w:r>
      <w:r w:rsidR="00327BAF" w:rsidRPr="008E3A84">
        <w:t>ся</w:t>
      </w:r>
      <w:r w:rsidR="00E95C1D">
        <w:t xml:space="preserve"> </w:t>
      </w:r>
      <w:r w:rsidR="00FC12EC" w:rsidRPr="008E3A84">
        <w:t>п</w:t>
      </w:r>
      <w:r w:rsidR="00100A49" w:rsidRPr="008E3A84">
        <w:t>олученный (</w:t>
      </w:r>
      <w:r w:rsidR="00FC12EC" w:rsidRPr="008E3A84">
        <w:t>выплаченный</w:t>
      </w:r>
      <w:r w:rsidR="00100A49" w:rsidRPr="008E3A84">
        <w:t>)</w:t>
      </w:r>
      <w:r w:rsidR="00FC12EC" w:rsidRPr="008E3A84">
        <w:t xml:space="preserve"> доход, начисляемый инвестору в соответствии с его долей в уставном (складочном) капитале</w:t>
      </w:r>
      <w:r w:rsidR="00FE2C1E" w:rsidRPr="008E3A84">
        <w:t>, которая составляет более 10%</w:t>
      </w:r>
      <w:r w:rsidR="004102B5" w:rsidRPr="008E3A84">
        <w:t>.</w:t>
      </w:r>
    </w:p>
    <w:p w:rsidR="00B515F8" w:rsidRPr="008E3A84" w:rsidRDefault="006276C3" w:rsidP="006276C3">
      <w:pPr>
        <w:autoSpaceDE w:val="0"/>
        <w:autoSpaceDN w:val="0"/>
        <w:adjustRightInd w:val="0"/>
        <w:ind w:firstLine="851"/>
        <w:jc w:val="both"/>
      </w:pPr>
      <w:r w:rsidRPr="008E3A84">
        <w:t>31. По коду 12.2 «Доходы от прямых инвестиций – процент</w:t>
      </w:r>
      <w:r w:rsidR="00100A49" w:rsidRPr="008E3A84">
        <w:t>ы» отчета отражается полученный (</w:t>
      </w:r>
      <w:r w:rsidRPr="008E3A84">
        <w:t>выплаченный</w:t>
      </w:r>
      <w:r w:rsidR="00100A49" w:rsidRPr="008E3A84">
        <w:t>)</w:t>
      </w:r>
      <w:r w:rsidRPr="008E3A84">
        <w:t xml:space="preserve"> доход</w:t>
      </w:r>
      <w:r w:rsidR="00E95C1D">
        <w:t xml:space="preserve"> </w:t>
      </w:r>
      <w:r w:rsidRPr="008E3A84">
        <w:t>за пользование заемными средствами,</w:t>
      </w:r>
      <w:r w:rsidR="00E95C1D">
        <w:t xml:space="preserve"> </w:t>
      </w:r>
      <w:r w:rsidRPr="008E3A84">
        <w:t xml:space="preserve">в том числе проценты по долговым </w:t>
      </w:r>
      <w:r w:rsidR="006E6EE7" w:rsidRPr="008E3A84">
        <w:t>инструментам</w:t>
      </w:r>
      <w:r w:rsidR="00AD561F" w:rsidRPr="008E3A84">
        <w:t>.</w:t>
      </w:r>
      <w:r w:rsidR="00E95C1D">
        <w:t xml:space="preserve"> </w:t>
      </w:r>
      <w:r w:rsidR="006E6EE7" w:rsidRPr="008E3A84">
        <w:t>Долговые инструменты в составе прямых</w:t>
      </w:r>
      <w:r w:rsidR="00E95C1D">
        <w:t xml:space="preserve"> </w:t>
      </w:r>
      <w:r w:rsidR="006E6EE7" w:rsidRPr="008E3A84">
        <w:t>инвестиций охватывают операции по привлечению заемных средств и</w:t>
      </w:r>
      <w:r w:rsidR="00E95C1D">
        <w:t xml:space="preserve"> </w:t>
      </w:r>
      <w:r w:rsidR="006E6EE7" w:rsidRPr="008E3A84">
        <w:t>предоставлению кредитных ресурсов (долговые ценные бумаги, торговые кредиты и другие кредиты и займы, прочие долговые обязательства), которые имеют место между прямыми инвесторами и их зарубежными отделениями, дочерними компаниями и ассоциированными предприятиями. В эту группу включаются как кредиты и займы, полученные дочерними предприятиями от материнских компаний, так и кредиты и займы, предоставленные им дочерними предприятиями.</w:t>
      </w:r>
    </w:p>
    <w:p w:rsidR="004102B5" w:rsidRPr="008E3A84" w:rsidRDefault="00011888" w:rsidP="00E94918">
      <w:pPr>
        <w:autoSpaceDE w:val="0"/>
        <w:autoSpaceDN w:val="0"/>
        <w:adjustRightInd w:val="0"/>
        <w:ind w:firstLine="851"/>
        <w:jc w:val="both"/>
      </w:pPr>
      <w:r w:rsidRPr="008E3A84">
        <w:t>32. По коду 12.3 «Доходы от портфельных инвестиций – дивиденды» отчета отражается</w:t>
      </w:r>
      <w:r w:rsidR="00E95C1D">
        <w:t xml:space="preserve"> </w:t>
      </w:r>
      <w:r w:rsidR="00B50C35" w:rsidRPr="008E3A84">
        <w:t>полученный (</w:t>
      </w:r>
      <w:r w:rsidR="004102B5" w:rsidRPr="008E3A84">
        <w:t>выплаченный</w:t>
      </w:r>
      <w:r w:rsidR="00B50C35" w:rsidRPr="008E3A84">
        <w:t>)</w:t>
      </w:r>
      <w:r w:rsidR="004102B5" w:rsidRPr="008E3A84">
        <w:t xml:space="preserve"> доход, начисляемый инвестору в соответствии с его долей в уставном (складочном) капитале, которая составляет</w:t>
      </w:r>
      <w:r w:rsidR="00E95C1D">
        <w:t xml:space="preserve"> </w:t>
      </w:r>
      <w:r w:rsidR="004102B5" w:rsidRPr="008E3A84">
        <w:t>не более 10%.</w:t>
      </w:r>
    </w:p>
    <w:p w:rsidR="009C6F20" w:rsidRPr="008E3A84" w:rsidRDefault="001C2DFB" w:rsidP="00E94918">
      <w:pPr>
        <w:autoSpaceDE w:val="0"/>
        <w:autoSpaceDN w:val="0"/>
        <w:adjustRightInd w:val="0"/>
        <w:ind w:firstLine="851"/>
        <w:jc w:val="both"/>
        <w:rPr>
          <w:rFonts w:ascii="Arial" w:hAnsi="Arial" w:cs="Arial"/>
          <w:sz w:val="23"/>
          <w:szCs w:val="23"/>
        </w:rPr>
      </w:pPr>
      <w:r w:rsidRPr="008E3A84">
        <w:t xml:space="preserve">33. По коду 12.4 «Доходы от портфельных инвестиций – проценты» отчета </w:t>
      </w:r>
      <w:r w:rsidR="00B50C35" w:rsidRPr="008E3A84">
        <w:t>отражается полученный (</w:t>
      </w:r>
      <w:r w:rsidR="00E94918" w:rsidRPr="008E3A84">
        <w:t>выплаченный</w:t>
      </w:r>
      <w:r w:rsidR="00B50C35" w:rsidRPr="008E3A84">
        <w:t>)</w:t>
      </w:r>
      <w:r w:rsidR="00E94918" w:rsidRPr="008E3A84">
        <w:t xml:space="preserve"> доход</w:t>
      </w:r>
      <w:r w:rsidR="00E95C1D">
        <w:t xml:space="preserve"> </w:t>
      </w:r>
      <w:r w:rsidR="00E94918" w:rsidRPr="008E3A84">
        <w:t>за пользование заемными средствами, в том ч</w:t>
      </w:r>
      <w:r w:rsidR="00B515F8" w:rsidRPr="008E3A84">
        <w:t>исле проценты по долговым</w:t>
      </w:r>
      <w:r w:rsidR="00E95C1D">
        <w:t xml:space="preserve"> </w:t>
      </w:r>
      <w:r w:rsidR="007E01D8" w:rsidRPr="008E3A84">
        <w:t>инструментам</w:t>
      </w:r>
      <w:r w:rsidR="000A30E8" w:rsidRPr="008E3A84">
        <w:t>,</w:t>
      </w:r>
      <w:r w:rsidR="00E95C1D">
        <w:t xml:space="preserve"> </w:t>
      </w:r>
      <w:r w:rsidR="009C6F20" w:rsidRPr="008E3A84">
        <w:t>кроме тех, которые включаются в прямые инвестиции</w:t>
      </w:r>
      <w:r w:rsidR="009C6F20" w:rsidRPr="008E3A84">
        <w:rPr>
          <w:rFonts w:ascii="Arial" w:hAnsi="Arial" w:cs="Arial"/>
          <w:sz w:val="23"/>
          <w:szCs w:val="23"/>
        </w:rPr>
        <w:t xml:space="preserve">. </w:t>
      </w:r>
    </w:p>
    <w:p w:rsidR="00F73309" w:rsidRPr="008E3A84" w:rsidRDefault="00326D05" w:rsidP="00E94918">
      <w:pPr>
        <w:autoSpaceDE w:val="0"/>
        <w:autoSpaceDN w:val="0"/>
        <w:adjustRightInd w:val="0"/>
        <w:ind w:firstLine="851"/>
        <w:jc w:val="both"/>
      </w:pPr>
      <w:r w:rsidRPr="008E3A84">
        <w:t xml:space="preserve">34. </w:t>
      </w:r>
      <w:r w:rsidR="00121B56" w:rsidRPr="008E3A84">
        <w:t xml:space="preserve">По коду 13 «Доходы от </w:t>
      </w:r>
      <w:r w:rsidR="003906BF" w:rsidRPr="008E3A84">
        <w:t>прочих</w:t>
      </w:r>
      <w:r w:rsidR="00121B56" w:rsidRPr="008E3A84">
        <w:t xml:space="preserve"> инвестиций – </w:t>
      </w:r>
      <w:r w:rsidR="003906BF" w:rsidRPr="008E3A84">
        <w:t>проценты</w:t>
      </w:r>
      <w:r w:rsidR="00121B56" w:rsidRPr="008E3A84">
        <w:t>»</w:t>
      </w:r>
      <w:r w:rsidR="003906BF" w:rsidRPr="008E3A84">
        <w:t xml:space="preserve"> отчета</w:t>
      </w:r>
      <w:r w:rsidR="00D574ED" w:rsidRPr="008E3A84">
        <w:t xml:space="preserve"> отражается </w:t>
      </w:r>
      <w:r w:rsidR="00B50C35" w:rsidRPr="008E3A84">
        <w:t>полученный (</w:t>
      </w:r>
      <w:r w:rsidR="00F73309" w:rsidRPr="008E3A84">
        <w:t>выплаченный</w:t>
      </w:r>
      <w:r w:rsidR="00B50C35" w:rsidRPr="008E3A84">
        <w:t>)</w:t>
      </w:r>
      <w:r w:rsidR="003906BF" w:rsidRPr="008E3A84">
        <w:t>процентный доход по финансовым активам, отнесенным к прочим инвестициям</w:t>
      </w:r>
      <w:r w:rsidR="00F73309" w:rsidRPr="008E3A84">
        <w:t>.</w:t>
      </w:r>
    </w:p>
    <w:p w:rsidR="003E69EC" w:rsidRPr="008E3A84" w:rsidRDefault="00F73309" w:rsidP="00904D4D">
      <w:pPr>
        <w:autoSpaceDE w:val="0"/>
        <w:autoSpaceDN w:val="0"/>
        <w:adjustRightInd w:val="0"/>
        <w:ind w:firstLine="851"/>
        <w:jc w:val="both"/>
      </w:pPr>
      <w:r w:rsidRPr="008E3A84">
        <w:t xml:space="preserve">35. </w:t>
      </w:r>
      <w:r w:rsidR="00AC583B" w:rsidRPr="008E3A84">
        <w:t xml:space="preserve">По коду 14 «Трансферты текущие» отчета </w:t>
      </w:r>
      <w:r w:rsidR="00B50C35" w:rsidRPr="008E3A84">
        <w:t>отражаются предоставление (</w:t>
      </w:r>
      <w:r w:rsidR="00904D4D" w:rsidRPr="008E3A84">
        <w:t>получение</w:t>
      </w:r>
      <w:r w:rsidR="00B50C35" w:rsidRPr="008E3A84">
        <w:t>)</w:t>
      </w:r>
      <w:r w:rsidR="00904D4D" w:rsidRPr="008E3A84">
        <w:t xml:space="preserve"> активов на безвозмездной основе: гранты и помощь на развитие, финансовая помощь на безвозмездной основе; налоги, сборы, таможенные пошлины.</w:t>
      </w:r>
    </w:p>
    <w:p w:rsidR="00AA7978" w:rsidRPr="008E3A84" w:rsidRDefault="003E69EC" w:rsidP="000B0199">
      <w:pPr>
        <w:autoSpaceDE w:val="0"/>
        <w:autoSpaceDN w:val="0"/>
        <w:adjustRightInd w:val="0"/>
        <w:ind w:firstLine="851"/>
        <w:jc w:val="both"/>
      </w:pPr>
      <w:r w:rsidRPr="008E3A84">
        <w:t>36. По коду 15 «</w:t>
      </w:r>
      <w:r w:rsidR="005C23FB" w:rsidRPr="008E3A84">
        <w:t>Трансферты капитальные и</w:t>
      </w:r>
      <w:r w:rsidR="00B50C35" w:rsidRPr="008E3A84">
        <w:t xml:space="preserve"> приобретение (</w:t>
      </w:r>
      <w:r w:rsidR="00EC7C0B" w:rsidRPr="008E3A84">
        <w:t>продажа</w:t>
      </w:r>
      <w:r w:rsidR="00B50C35" w:rsidRPr="008E3A84">
        <w:t>)</w:t>
      </w:r>
      <w:r w:rsidR="00E95C1D">
        <w:t xml:space="preserve"> </w:t>
      </w:r>
      <w:r w:rsidR="005C23FB" w:rsidRPr="008E3A84">
        <w:t>непроизвед</w:t>
      </w:r>
      <w:r w:rsidR="006D26D1">
        <w:t>ё</w:t>
      </w:r>
      <w:r w:rsidR="005C23FB" w:rsidRPr="008E3A84">
        <w:t>нных нефинансовых активов</w:t>
      </w:r>
      <w:r w:rsidRPr="008E3A84">
        <w:t xml:space="preserve">» отчета </w:t>
      </w:r>
      <w:r w:rsidR="00AA7978" w:rsidRPr="008E3A84">
        <w:t>отражаются:</w:t>
      </w:r>
    </w:p>
    <w:p w:rsidR="00AA7978" w:rsidRPr="008E3A84" w:rsidRDefault="00AA7978" w:rsidP="000B0199">
      <w:pPr>
        <w:autoSpaceDE w:val="0"/>
        <w:autoSpaceDN w:val="0"/>
        <w:adjustRightInd w:val="0"/>
        <w:ind w:firstLine="851"/>
        <w:jc w:val="both"/>
      </w:pPr>
      <w:r w:rsidRPr="008E3A84">
        <w:t xml:space="preserve">а) </w:t>
      </w:r>
      <w:r w:rsidR="003C2165" w:rsidRPr="008E3A84">
        <w:t>к</w:t>
      </w:r>
      <w:r w:rsidR="003B7ABE" w:rsidRPr="008E3A84">
        <w:t>апитальные</w:t>
      </w:r>
      <w:r w:rsidR="00E95C1D">
        <w:t xml:space="preserve"> </w:t>
      </w:r>
      <w:r w:rsidR="003B7ABE" w:rsidRPr="008E3A84">
        <w:t>трансферты</w:t>
      </w:r>
      <w:r w:rsidR="00D97187" w:rsidRPr="008E3A84">
        <w:t>, которые</w:t>
      </w:r>
      <w:r w:rsidR="00E95C1D">
        <w:t xml:space="preserve"> </w:t>
      </w:r>
      <w:r w:rsidR="003B7ABE" w:rsidRPr="008E3A84">
        <w:t>включают безвозмездную передачу прав собственности на имущество, основные фонды и прощение долгов. Безвозмездная передача денежных средств рассматривается как капитальный трансферт только в том случае, если эти средства предназначены для приобретения основных фондов или капитального</w:t>
      </w:r>
      <w:r w:rsidR="00E95C1D">
        <w:t xml:space="preserve"> </w:t>
      </w:r>
      <w:r w:rsidR="003B7ABE" w:rsidRPr="008E3A84">
        <w:t>строительства</w:t>
      </w:r>
      <w:r w:rsidR="003C2165" w:rsidRPr="008E3A84">
        <w:t>.</w:t>
      </w:r>
    </w:p>
    <w:p w:rsidR="003C2165" w:rsidRPr="008E3A84" w:rsidRDefault="00D97187" w:rsidP="000B0199">
      <w:pPr>
        <w:autoSpaceDE w:val="0"/>
        <w:autoSpaceDN w:val="0"/>
        <w:adjustRightInd w:val="0"/>
        <w:ind w:firstLine="851"/>
        <w:jc w:val="both"/>
      </w:pPr>
      <w:r w:rsidRPr="008E3A84">
        <w:t>б) п</w:t>
      </w:r>
      <w:r w:rsidR="00DF47A0" w:rsidRPr="008E3A84">
        <w:t>риобретение (</w:t>
      </w:r>
      <w:r w:rsidR="003C2165" w:rsidRPr="008E3A84">
        <w:t>продаж</w:t>
      </w:r>
      <w:r w:rsidRPr="008E3A84">
        <w:t>у</w:t>
      </w:r>
      <w:r w:rsidR="00DF47A0" w:rsidRPr="008E3A84">
        <w:t>)</w:t>
      </w:r>
      <w:r w:rsidR="00E95C1D">
        <w:t xml:space="preserve"> </w:t>
      </w:r>
      <w:r w:rsidR="003C2165" w:rsidRPr="008E3A84">
        <w:t>непроизвед</w:t>
      </w:r>
      <w:r w:rsidR="006D26D1">
        <w:t>ё</w:t>
      </w:r>
      <w:r w:rsidR="003C2165" w:rsidRPr="008E3A84">
        <w:t>нных</w:t>
      </w:r>
      <w:r w:rsidR="00E95C1D">
        <w:t xml:space="preserve"> </w:t>
      </w:r>
      <w:r w:rsidR="003C2165" w:rsidRPr="008E3A84">
        <w:t>нефинансовых</w:t>
      </w:r>
      <w:r w:rsidR="00E95C1D">
        <w:t xml:space="preserve"> </w:t>
      </w:r>
      <w:r w:rsidR="003C2165" w:rsidRPr="008E3A84">
        <w:t>активов</w:t>
      </w:r>
      <w:r w:rsidRPr="008E3A84">
        <w:t>, которые</w:t>
      </w:r>
      <w:r w:rsidR="00E95C1D">
        <w:t xml:space="preserve"> </w:t>
      </w:r>
      <w:r w:rsidRPr="008E3A84">
        <w:t>включаю</w:t>
      </w:r>
      <w:r w:rsidR="00AA7978" w:rsidRPr="008E3A84">
        <w:t xml:space="preserve">т </w:t>
      </w:r>
      <w:r w:rsidR="003C2165" w:rsidRPr="008E3A84">
        <w:t>приобретение и продажу активов, не являющихся результатом пр</w:t>
      </w:r>
      <w:r w:rsidR="00DF47A0" w:rsidRPr="008E3A84">
        <w:t>оизводства (земля и ее недра) и (</w:t>
      </w:r>
      <w:r w:rsidR="003C2165" w:rsidRPr="008E3A84">
        <w:t>или</w:t>
      </w:r>
      <w:r w:rsidR="00DF47A0" w:rsidRPr="008E3A84">
        <w:t>)</w:t>
      </w:r>
      <w:r w:rsidR="003C2165" w:rsidRPr="008E3A84">
        <w:t xml:space="preserve"> активов нематериального характера, таких как патенты, авторские права, торговые знаки, права в системе франчайзинга и т.п. В данную статью входят операции, </w:t>
      </w:r>
      <w:r w:rsidR="003741FB" w:rsidRPr="008E3A84">
        <w:t xml:space="preserve">связанные </w:t>
      </w:r>
      <w:r w:rsidR="003C2165" w:rsidRPr="008E3A84">
        <w:t>с приобретением и продажей нематериальных активов (природных ресурсов, контрактов, договоров аренды и лицензий; маркетинговых активов).</w:t>
      </w:r>
    </w:p>
    <w:p w:rsidR="007E41BB" w:rsidRPr="008E3A84" w:rsidRDefault="00402718" w:rsidP="000B0199">
      <w:pPr>
        <w:autoSpaceDE w:val="0"/>
        <w:autoSpaceDN w:val="0"/>
        <w:adjustRightInd w:val="0"/>
        <w:ind w:firstLine="851"/>
        <w:jc w:val="both"/>
      </w:pPr>
      <w:r w:rsidRPr="008E3A84">
        <w:t xml:space="preserve">37. По коду 16 «Прямые инвестиции за границу – </w:t>
      </w:r>
      <w:r w:rsidR="00B809BC" w:rsidRPr="008E3A84">
        <w:t>по требованиям отчитывающегося субъекта</w:t>
      </w:r>
      <w:r w:rsidRPr="008E3A84">
        <w:t>»</w:t>
      </w:r>
      <w:r w:rsidR="00B809BC" w:rsidRPr="008E3A84">
        <w:t xml:space="preserve"> отчета отражаются</w:t>
      </w:r>
      <w:r w:rsidR="00E95C1D">
        <w:t xml:space="preserve"> </w:t>
      </w:r>
      <w:r w:rsidR="007E41BB" w:rsidRPr="008E3A84">
        <w:t xml:space="preserve">платежи по </w:t>
      </w:r>
      <w:r w:rsidR="000B0199" w:rsidRPr="008E3A84">
        <w:t>требования</w:t>
      </w:r>
      <w:r w:rsidR="007E41BB" w:rsidRPr="008E3A84">
        <w:t>м</w:t>
      </w:r>
      <w:r w:rsidR="00E95C1D">
        <w:t xml:space="preserve"> </w:t>
      </w:r>
      <w:r w:rsidR="000B0199" w:rsidRPr="008E3A84">
        <w:t>отчитывающегося субъекта, выступающего по отношению к зарубежному контрагенту в качестве прямого инвестора, по операциям с займами, долевыми и долговыми ценными бумагами.</w:t>
      </w:r>
    </w:p>
    <w:p w:rsidR="00130E68" w:rsidRPr="008E3A84" w:rsidRDefault="007E41BB" w:rsidP="00130E68">
      <w:pPr>
        <w:autoSpaceDE w:val="0"/>
        <w:autoSpaceDN w:val="0"/>
        <w:adjustRightInd w:val="0"/>
        <w:ind w:firstLine="851"/>
        <w:jc w:val="both"/>
      </w:pPr>
      <w:r w:rsidRPr="008E3A84">
        <w:t xml:space="preserve">38. По коду </w:t>
      </w:r>
      <w:r w:rsidR="0009233A" w:rsidRPr="008E3A84">
        <w:t>17</w:t>
      </w:r>
      <w:r w:rsidRPr="008E3A84">
        <w:t xml:space="preserve"> «Прямые инвестиции за границу – по обязательствам отчитывающегося субъекта»</w:t>
      </w:r>
      <w:r w:rsidR="00130E68" w:rsidRPr="008E3A84">
        <w:t xml:space="preserve"> отчета отражаются платежи по обязательствам</w:t>
      </w:r>
      <w:r w:rsidR="00E95C1D">
        <w:t xml:space="preserve"> </w:t>
      </w:r>
      <w:r w:rsidR="00130E68" w:rsidRPr="008E3A84">
        <w:t>отчитывающегося субъекта, выступающего по отношению к зарубежному контрагенту в качестве прямого инвестора, по операциям с займами, долевыми и долговыми ценными бумагами.</w:t>
      </w:r>
    </w:p>
    <w:p w:rsidR="00BD4B71" w:rsidRPr="008E3A84" w:rsidRDefault="00130E68" w:rsidP="0009233A">
      <w:pPr>
        <w:autoSpaceDE w:val="0"/>
        <w:autoSpaceDN w:val="0"/>
        <w:adjustRightInd w:val="0"/>
        <w:ind w:firstLine="851"/>
        <w:jc w:val="both"/>
      </w:pPr>
      <w:r w:rsidRPr="008E3A84">
        <w:t>39. По коду 1</w:t>
      </w:r>
      <w:r w:rsidR="0009233A" w:rsidRPr="008E3A84">
        <w:t>8</w:t>
      </w:r>
      <w:r w:rsidRPr="008E3A84">
        <w:t xml:space="preserve"> «Прямые инвестиции </w:t>
      </w:r>
      <w:r w:rsidR="00E200B8" w:rsidRPr="008E3A84">
        <w:t>в</w:t>
      </w:r>
      <w:r w:rsidR="0009233A" w:rsidRPr="008E3A84">
        <w:t xml:space="preserve"> ПМР</w:t>
      </w:r>
      <w:r w:rsidRPr="008E3A84">
        <w:t xml:space="preserve"> – по требованиям отчитывающегося субъекта»</w:t>
      </w:r>
      <w:r w:rsidR="00BD4B71" w:rsidRPr="008E3A84">
        <w:t xml:space="preserve"> отчета отражаю</w:t>
      </w:r>
      <w:r w:rsidR="0009233A" w:rsidRPr="008E3A84">
        <w:t>тся</w:t>
      </w:r>
      <w:r w:rsidR="00BD4B71" w:rsidRPr="008E3A84">
        <w:t xml:space="preserve"> платежи по</w:t>
      </w:r>
      <w:r w:rsidR="00E95C1D">
        <w:t xml:space="preserve"> </w:t>
      </w:r>
      <w:r w:rsidR="00BD4B71" w:rsidRPr="008E3A84">
        <w:t>требования</w:t>
      </w:r>
      <w:r w:rsidR="004F6B34" w:rsidRPr="008E3A84">
        <w:t xml:space="preserve">м </w:t>
      </w:r>
      <w:r w:rsidR="00BD4B71" w:rsidRPr="008E3A84">
        <w:t>отчитывающегося</w:t>
      </w:r>
      <w:r w:rsidR="0009233A" w:rsidRPr="008E3A84">
        <w:t xml:space="preserve"> субъекта, </w:t>
      </w:r>
      <w:r w:rsidR="0009233A" w:rsidRPr="008E3A84">
        <w:lastRenderedPageBreak/>
        <w:t>выступающего по отношению к зарубежному контрагенту в качестве предприятия прямого инвестирования, по операциям с кредитами и займами, долевыми и долговыми ценными бумагами.</w:t>
      </w:r>
    </w:p>
    <w:p w:rsidR="00907D3F" w:rsidRPr="008E3A84" w:rsidRDefault="00BD4B71" w:rsidP="00907D3F">
      <w:pPr>
        <w:autoSpaceDE w:val="0"/>
        <w:autoSpaceDN w:val="0"/>
        <w:adjustRightInd w:val="0"/>
        <w:ind w:firstLine="851"/>
        <w:jc w:val="both"/>
      </w:pPr>
      <w:r w:rsidRPr="008E3A84">
        <w:t xml:space="preserve">40. </w:t>
      </w:r>
      <w:r w:rsidR="00907D3F" w:rsidRPr="008E3A84">
        <w:t xml:space="preserve">По коду 19 «Прямые инвестиции </w:t>
      </w:r>
      <w:r w:rsidR="00E200B8" w:rsidRPr="008E3A84">
        <w:t>в</w:t>
      </w:r>
      <w:r w:rsidR="00907D3F" w:rsidRPr="008E3A84">
        <w:t xml:space="preserve"> ПМР – по обязательствам отчитывающегося субъекта» отражаются платежи по обязательствам</w:t>
      </w:r>
      <w:r w:rsidR="00E95C1D">
        <w:t xml:space="preserve"> </w:t>
      </w:r>
      <w:r w:rsidR="00907D3F" w:rsidRPr="008E3A84">
        <w:t>отчитывающегося субъекта, выступающего по отношению к зарубежному контрагенту в качестве предприятия прямого инвестирования, по операциям с кредитами и займами, долевыми и долговыми ценными бумагами.</w:t>
      </w:r>
    </w:p>
    <w:p w:rsidR="006B2008" w:rsidRPr="008E3A84" w:rsidRDefault="00B010F2" w:rsidP="00B010F2">
      <w:pPr>
        <w:autoSpaceDE w:val="0"/>
        <w:autoSpaceDN w:val="0"/>
        <w:adjustRightInd w:val="0"/>
        <w:ind w:firstLine="851"/>
        <w:jc w:val="both"/>
      </w:pPr>
      <w:r w:rsidRPr="008E3A84">
        <w:t xml:space="preserve">41. По коду 20 «Портфельные инвестиции </w:t>
      </w:r>
      <w:r w:rsidR="00EE35BC" w:rsidRPr="008E3A84">
        <w:t>– Активы</w:t>
      </w:r>
      <w:r w:rsidR="0028159C" w:rsidRPr="008E3A84">
        <w:t xml:space="preserve">» отчета отражаются платежи по операциям </w:t>
      </w:r>
      <w:r w:rsidRPr="008E3A84">
        <w:t>отчитывающегося субъекта с ценными бумагами нерезидентов</w:t>
      </w:r>
      <w:r w:rsidR="0028159C" w:rsidRPr="008E3A84">
        <w:t>.</w:t>
      </w:r>
    </w:p>
    <w:p w:rsidR="00B010F2" w:rsidRPr="008E3A84" w:rsidRDefault="006B2008" w:rsidP="00B010F2">
      <w:pPr>
        <w:autoSpaceDE w:val="0"/>
        <w:autoSpaceDN w:val="0"/>
        <w:adjustRightInd w:val="0"/>
        <w:ind w:firstLine="851"/>
        <w:jc w:val="both"/>
      </w:pPr>
      <w:r w:rsidRPr="008E3A84">
        <w:t xml:space="preserve">42. По коду 21 «Портфельные инвестиции </w:t>
      </w:r>
      <w:r w:rsidR="00EE35BC" w:rsidRPr="008E3A84">
        <w:t xml:space="preserve">– </w:t>
      </w:r>
      <w:r w:rsidRPr="008E3A84">
        <w:t>Пассивы» отчета отражаются платежи по операциям отчитывающегося субъекта с собственными ценными бумагами.</w:t>
      </w:r>
    </w:p>
    <w:p w:rsidR="006B2008" w:rsidRPr="008E3A84" w:rsidRDefault="006B2008" w:rsidP="00B010F2">
      <w:pPr>
        <w:autoSpaceDE w:val="0"/>
        <w:autoSpaceDN w:val="0"/>
        <w:adjustRightInd w:val="0"/>
        <w:ind w:firstLine="851"/>
        <w:jc w:val="both"/>
      </w:pPr>
      <w:r w:rsidRPr="008E3A84">
        <w:t xml:space="preserve">43. </w:t>
      </w:r>
      <w:r w:rsidR="00771FB8" w:rsidRPr="008E3A84">
        <w:t xml:space="preserve">По коду </w:t>
      </w:r>
      <w:r w:rsidR="00345ECD" w:rsidRPr="008E3A84">
        <w:t>22</w:t>
      </w:r>
      <w:r w:rsidR="003A7478" w:rsidRPr="008E3A84">
        <w:t xml:space="preserve"> «Прочие инвестиции – Активы (долгосрочные)»</w:t>
      </w:r>
      <w:r w:rsidR="00262EDB" w:rsidRPr="008E3A84">
        <w:t xml:space="preserve"> отчета</w:t>
      </w:r>
      <w:r w:rsidR="006D26D1">
        <w:t xml:space="preserve"> </w:t>
      </w:r>
      <w:r w:rsidR="00A94620" w:rsidRPr="008E3A84">
        <w:t xml:space="preserve">отражаются </w:t>
      </w:r>
      <w:r w:rsidR="00A94620" w:rsidRPr="008E3A84">
        <w:rPr>
          <w:sz w:val="22"/>
          <w:szCs w:val="22"/>
        </w:rPr>
        <w:t>расч</w:t>
      </w:r>
      <w:r w:rsidR="00FA2B54" w:rsidRPr="008E3A84">
        <w:rPr>
          <w:sz w:val="22"/>
          <w:szCs w:val="22"/>
        </w:rPr>
        <w:t>е</w:t>
      </w:r>
      <w:r w:rsidR="00A94620" w:rsidRPr="008E3A84">
        <w:rPr>
          <w:sz w:val="22"/>
          <w:szCs w:val="22"/>
        </w:rPr>
        <w:t xml:space="preserve">ты </w:t>
      </w:r>
      <w:r w:rsidR="00A94620" w:rsidRPr="008E3A84">
        <w:t>отчитывающегося субъекта по предоставленным займам на долгосрочной основе</w:t>
      </w:r>
      <w:r w:rsidR="00E65536" w:rsidRPr="008E3A84">
        <w:t xml:space="preserve"> (с первоначальным сроком погашения свыше 1 года)</w:t>
      </w:r>
      <w:r w:rsidR="00262EDB" w:rsidRPr="008E3A84">
        <w:t>.</w:t>
      </w:r>
    </w:p>
    <w:p w:rsidR="00262EDB" w:rsidRPr="008E3A84" w:rsidRDefault="00262EDB" w:rsidP="00B010F2">
      <w:pPr>
        <w:autoSpaceDE w:val="0"/>
        <w:autoSpaceDN w:val="0"/>
        <w:adjustRightInd w:val="0"/>
        <w:ind w:firstLine="851"/>
        <w:jc w:val="both"/>
      </w:pPr>
      <w:r w:rsidRPr="008E3A84">
        <w:t>44. По коду 23</w:t>
      </w:r>
      <w:r w:rsidR="00254C19" w:rsidRPr="008E3A84">
        <w:t xml:space="preserve"> «Прочие инвестиции – Активы (краткосрочные)» отчета отражаются </w:t>
      </w:r>
      <w:r w:rsidR="00254C19" w:rsidRPr="008E3A84">
        <w:rPr>
          <w:sz w:val="22"/>
          <w:szCs w:val="22"/>
        </w:rPr>
        <w:t>расч</w:t>
      </w:r>
      <w:r w:rsidR="00FA2B54" w:rsidRPr="008E3A84">
        <w:rPr>
          <w:sz w:val="22"/>
          <w:szCs w:val="22"/>
        </w:rPr>
        <w:t>е</w:t>
      </w:r>
      <w:r w:rsidR="00254C19" w:rsidRPr="008E3A84">
        <w:rPr>
          <w:sz w:val="22"/>
          <w:szCs w:val="22"/>
        </w:rPr>
        <w:t xml:space="preserve">ты </w:t>
      </w:r>
      <w:r w:rsidR="00254C19" w:rsidRPr="008E3A84">
        <w:t>отчитывающегося субъекта по предоставленным займам на краткосрочной основе</w:t>
      </w:r>
      <w:r w:rsidR="00E65536" w:rsidRPr="008E3A84">
        <w:t xml:space="preserve"> (с первоначальным сроком погашения до 1 года включительно).</w:t>
      </w:r>
    </w:p>
    <w:p w:rsidR="00694F26" w:rsidRPr="008E3A84" w:rsidRDefault="00E65536" w:rsidP="00694F26">
      <w:pPr>
        <w:autoSpaceDE w:val="0"/>
        <w:autoSpaceDN w:val="0"/>
        <w:adjustRightInd w:val="0"/>
        <w:ind w:firstLine="851"/>
        <w:jc w:val="both"/>
      </w:pPr>
      <w:r w:rsidRPr="008E3A84">
        <w:t xml:space="preserve">45. </w:t>
      </w:r>
      <w:r w:rsidR="00A83796" w:rsidRPr="008E3A84">
        <w:t>По коду 24 «Прочие инвестиции – Пассивы (долгосрочные)» отчета отражаются расч</w:t>
      </w:r>
      <w:r w:rsidR="00FA2B54" w:rsidRPr="008E3A84">
        <w:t>е</w:t>
      </w:r>
      <w:r w:rsidR="00A83796" w:rsidRPr="008E3A84">
        <w:t>ты</w:t>
      </w:r>
      <w:r w:rsidR="00694F26" w:rsidRPr="008E3A84">
        <w:t xml:space="preserve"> отчитывающегося субъекта по привлеч</w:t>
      </w:r>
      <w:r w:rsidR="00FA2B54" w:rsidRPr="008E3A84">
        <w:t>е</w:t>
      </w:r>
      <w:r w:rsidR="00694F26" w:rsidRPr="008E3A84">
        <w:t>нным кредитам и займам на долгосрочной основе (с первоначальным сроком погашения свыше 1 года).</w:t>
      </w:r>
    </w:p>
    <w:p w:rsidR="004C3FD0" w:rsidRPr="008E3A84" w:rsidRDefault="00694F26" w:rsidP="004C3FD0">
      <w:pPr>
        <w:autoSpaceDE w:val="0"/>
        <w:autoSpaceDN w:val="0"/>
        <w:adjustRightInd w:val="0"/>
        <w:ind w:firstLine="851"/>
        <w:jc w:val="both"/>
      </w:pPr>
      <w:r w:rsidRPr="008E3A84">
        <w:t>46. По коду 25 «Прочие инвестиции – Пассивы (краткосрочные)</w:t>
      </w:r>
      <w:r w:rsidR="00C9020B" w:rsidRPr="008E3A84">
        <w:t>» отчета отражаются расч</w:t>
      </w:r>
      <w:r w:rsidR="00FA2B54" w:rsidRPr="008E3A84">
        <w:t>е</w:t>
      </w:r>
      <w:r w:rsidR="00C9020B" w:rsidRPr="008E3A84">
        <w:t>ты отчитывающегося субъекта по привлеч</w:t>
      </w:r>
      <w:r w:rsidR="00FA2B54" w:rsidRPr="008E3A84">
        <w:t>е</w:t>
      </w:r>
      <w:r w:rsidR="00C9020B" w:rsidRPr="008E3A84">
        <w:t>нным кредитам и займам на краткосрочной основе</w:t>
      </w:r>
      <w:r w:rsidR="004C3FD0" w:rsidRPr="008E3A84">
        <w:t xml:space="preserve"> (с первоначальным сроком погашения до 1 года включительно).</w:t>
      </w:r>
    </w:p>
    <w:p w:rsidR="004C3FD0" w:rsidRPr="008E3A84" w:rsidRDefault="004C3FD0" w:rsidP="004C3FD0">
      <w:pPr>
        <w:autoSpaceDE w:val="0"/>
        <w:autoSpaceDN w:val="0"/>
        <w:adjustRightInd w:val="0"/>
        <w:ind w:firstLine="851"/>
        <w:jc w:val="both"/>
      </w:pPr>
      <w:r w:rsidRPr="008E3A84">
        <w:t xml:space="preserve">47. </w:t>
      </w:r>
      <w:r w:rsidR="00A55418" w:rsidRPr="008E3A84">
        <w:t>По коду 26 «</w:t>
      </w:r>
      <w:r w:rsidR="00D23879" w:rsidRPr="008E3A84">
        <w:t>Поступление средств на другие собственные счета отчитывающегося субъекта (списание средств с других собственных счетов отчитывающегося субъекта)</w:t>
      </w:r>
      <w:r w:rsidR="00A55418" w:rsidRPr="008E3A84">
        <w:t>»</w:t>
      </w:r>
      <w:r w:rsidR="00D146AB" w:rsidRPr="008E3A84">
        <w:t xml:space="preserve"> отчета</w:t>
      </w:r>
      <w:r w:rsidR="00E95C1D">
        <w:t xml:space="preserve"> </w:t>
      </w:r>
      <w:r w:rsidR="00C50718" w:rsidRPr="008E3A84">
        <w:t xml:space="preserve">отражается </w:t>
      </w:r>
      <w:r w:rsidR="00042FA5" w:rsidRPr="008E3A84">
        <w:t>перевод денежных</w:t>
      </w:r>
      <w:r w:rsidR="00C50718" w:rsidRPr="008E3A84">
        <w:t xml:space="preserve"> средств между собственными сч</w:t>
      </w:r>
      <w:r w:rsidR="00D24A83" w:rsidRPr="008E3A84">
        <w:t>етами отчитывающегося субъекта</w:t>
      </w:r>
      <w:r w:rsidR="00504515" w:rsidRPr="008E3A84">
        <w:t>, открытыми</w:t>
      </w:r>
      <w:r w:rsidR="00DD50CC" w:rsidRPr="008E3A84">
        <w:t xml:space="preserve"> в разных банках</w:t>
      </w:r>
      <w:r w:rsidR="003366E3" w:rsidRPr="008E3A84">
        <w:t>,</w:t>
      </w:r>
      <w:r w:rsidR="00E95C1D">
        <w:t xml:space="preserve"> </w:t>
      </w:r>
      <w:r w:rsidR="00D96542" w:rsidRPr="008E3A84">
        <w:t>в том числе в кредитных организациях Приднестровской Молдавской Республики.</w:t>
      </w:r>
      <w:r w:rsidR="00504515" w:rsidRPr="008E3A84">
        <w:t xml:space="preserve"> Здесь же отражается конвертация денежных средств при перечислении с одного собственного счета на другой собственный счет отчитывающегося субъекта.</w:t>
      </w:r>
    </w:p>
    <w:p w:rsidR="00A4092B" w:rsidRPr="008E3A84" w:rsidRDefault="00D96542" w:rsidP="00A4092B">
      <w:pPr>
        <w:autoSpaceDE w:val="0"/>
        <w:autoSpaceDN w:val="0"/>
        <w:adjustRightInd w:val="0"/>
        <w:ind w:firstLine="851"/>
        <w:jc w:val="both"/>
      </w:pPr>
      <w:r w:rsidRPr="008E3A84">
        <w:t xml:space="preserve">48. По коду 27 </w:t>
      </w:r>
      <w:r w:rsidR="00761B73" w:rsidRPr="008E3A84">
        <w:t>«Прочие операции, не отнес</w:t>
      </w:r>
      <w:r w:rsidR="00FA2B54" w:rsidRPr="008E3A84">
        <w:t>е</w:t>
      </w:r>
      <w:r w:rsidR="00761B73" w:rsidRPr="008E3A84">
        <w:t xml:space="preserve">нные ни к одному из вышеперечисленных кодов» </w:t>
      </w:r>
      <w:r w:rsidR="00D146AB" w:rsidRPr="008E3A84">
        <w:t xml:space="preserve">отчета отражаются платежи, не отнесенные ни к одному из вышеперечисленных кодов </w:t>
      </w:r>
      <w:r w:rsidR="0043455C" w:rsidRPr="008E3A84">
        <w:t>показателей (1-26) настоящего Порядка</w:t>
      </w:r>
      <w:r w:rsidR="00340F8D" w:rsidRPr="008E3A84">
        <w:t xml:space="preserve"> с их детализацией (расшифровкой вида операции) в поле 15</w:t>
      </w:r>
      <w:r w:rsidR="00A4092B" w:rsidRPr="008E3A84">
        <w:t>форматного электронного документа Отчета 3-ПБ «Об операциях по счетам хозяйствующих субъектов, открытым в кредитных организациях за пределами Приднестровской Молдавской Республики», регламентированного настоящим Приложением к Инструкции.</w:t>
      </w:r>
    </w:p>
    <w:p w:rsidR="008E211E" w:rsidRPr="007327A2" w:rsidRDefault="00430099" w:rsidP="00DF682A">
      <w:pPr>
        <w:autoSpaceDE w:val="0"/>
        <w:autoSpaceDN w:val="0"/>
        <w:adjustRightInd w:val="0"/>
        <w:ind w:firstLine="851"/>
        <w:jc w:val="both"/>
      </w:pPr>
      <w:r w:rsidRPr="008E3A84">
        <w:t xml:space="preserve">49. </w:t>
      </w:r>
      <w:r w:rsidR="00822C39" w:rsidRPr="008E3A84">
        <w:t>Для о</w:t>
      </w:r>
      <w:r w:rsidR="00DF47A0" w:rsidRPr="008E3A84">
        <w:t>пераций, корректирующих платежи (</w:t>
      </w:r>
      <w:r w:rsidR="00822C39" w:rsidRPr="008E3A84">
        <w:t>поступления</w:t>
      </w:r>
      <w:r w:rsidR="00DF47A0" w:rsidRPr="008E3A84">
        <w:t>) со счета (</w:t>
      </w:r>
      <w:r w:rsidR="00822C39" w:rsidRPr="008E3A84">
        <w:t>на счет</w:t>
      </w:r>
      <w:r w:rsidR="00DF47A0" w:rsidRPr="008E3A84">
        <w:t>)</w:t>
      </w:r>
      <w:r w:rsidR="00822C39" w:rsidRPr="008E3A84">
        <w:t>, осуществленные ранее, указываются те же коды</w:t>
      </w:r>
      <w:r w:rsidR="00DF682A" w:rsidRPr="008E3A84">
        <w:t xml:space="preserve">, </w:t>
      </w:r>
      <w:r w:rsidR="003741FB" w:rsidRPr="008E3A84">
        <w:t>ч</w:t>
      </w:r>
      <w:r w:rsidR="00DF682A" w:rsidRPr="008E3A84">
        <w:t>то и для первоначальной операции.</w:t>
      </w:r>
    </w:p>
    <w:sectPr w:rsidR="008E211E" w:rsidRPr="007327A2" w:rsidSect="00A918C4">
      <w:pgSz w:w="11906" w:h="16838"/>
      <w:pgMar w:top="1134"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C96" w:rsidRDefault="00463C96" w:rsidP="00CF0D43">
      <w:r>
        <w:separator/>
      </w:r>
    </w:p>
  </w:endnote>
  <w:endnote w:type="continuationSeparator" w:id="1">
    <w:p w:rsidR="00463C96" w:rsidRDefault="00463C96" w:rsidP="00CF0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_FuturaOrto">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inionPr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C96" w:rsidRDefault="00463C96" w:rsidP="00CF0D43">
      <w:r>
        <w:separator/>
      </w:r>
    </w:p>
  </w:footnote>
  <w:footnote w:type="continuationSeparator" w:id="1">
    <w:p w:rsidR="00463C96" w:rsidRDefault="00463C96" w:rsidP="00CF0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0E4"/>
    <w:multiLevelType w:val="hybridMultilevel"/>
    <w:tmpl w:val="8B34D2D8"/>
    <w:lvl w:ilvl="0" w:tplc="9F5867A0">
      <w:start w:val="1"/>
      <w:numFmt w:val="russianLower"/>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FDFC4196">
      <w:start w:val="1"/>
      <w:numFmt w:val="decimal"/>
      <w:lvlText w:val="%3."/>
      <w:lvlJc w:val="left"/>
      <w:pPr>
        <w:tabs>
          <w:tab w:val="num" w:pos="1620"/>
        </w:tabs>
        <w:ind w:left="16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3339C4"/>
    <w:multiLevelType w:val="hybridMultilevel"/>
    <w:tmpl w:val="A014A3B0"/>
    <w:lvl w:ilvl="0" w:tplc="71CC1546">
      <w:start w:val="1"/>
      <w:numFmt w:val="russianLow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15979"/>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1D850D2"/>
    <w:multiLevelType w:val="hybridMultilevel"/>
    <w:tmpl w:val="C6D098F2"/>
    <w:lvl w:ilvl="0" w:tplc="F336F2D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5907722"/>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89B25D6"/>
    <w:multiLevelType w:val="hybridMultilevel"/>
    <w:tmpl w:val="F552CC58"/>
    <w:lvl w:ilvl="0" w:tplc="0A86305A">
      <w:start w:val="1"/>
      <w:numFmt w:val="decimal"/>
      <w:lvlText w:val="%1."/>
      <w:lvlJc w:val="left"/>
      <w:pPr>
        <w:tabs>
          <w:tab w:val="num" w:pos="900"/>
        </w:tabs>
        <w:ind w:left="900" w:hanging="360"/>
      </w:pPr>
      <w:rPr>
        <w:rFonts w:hint="default"/>
        <w:i w:val="0"/>
        <w:color w:val="auto"/>
        <w:sz w:val="24"/>
        <w:szCs w:val="24"/>
      </w:rPr>
    </w:lvl>
    <w:lvl w:ilvl="1" w:tplc="DD08FC08">
      <w:start w:val="1"/>
      <w:numFmt w:val="russianLower"/>
      <w:lvlText w:val="%2)"/>
      <w:lvlJc w:val="left"/>
      <w:pPr>
        <w:tabs>
          <w:tab w:val="num" w:pos="1440"/>
        </w:tabs>
        <w:ind w:left="1440" w:hanging="360"/>
      </w:pPr>
      <w:rPr>
        <w:rFonts w:hint="default"/>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4E4CF7"/>
    <w:multiLevelType w:val="hybridMultilevel"/>
    <w:tmpl w:val="6570F55A"/>
    <w:lvl w:ilvl="0" w:tplc="359E6BDA">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61427B"/>
    <w:multiLevelType w:val="hybridMultilevel"/>
    <w:tmpl w:val="611CE196"/>
    <w:lvl w:ilvl="0" w:tplc="9F5867A0">
      <w:start w:val="1"/>
      <w:numFmt w:val="russianLower"/>
      <w:lvlText w:val="%1)"/>
      <w:lvlJc w:val="left"/>
      <w:pPr>
        <w:tabs>
          <w:tab w:val="num" w:pos="1068"/>
        </w:tabs>
        <w:ind w:left="1068" w:hanging="360"/>
      </w:pPr>
      <w:rPr>
        <w:rFonts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8">
    <w:nsid w:val="1A8402DB"/>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2062135B"/>
    <w:multiLevelType w:val="hybridMultilevel"/>
    <w:tmpl w:val="30E4E4FC"/>
    <w:lvl w:ilvl="0" w:tplc="020E4E86">
      <w:start w:val="1"/>
      <w:numFmt w:val="russianLower"/>
      <w:lvlText w:val="%1)"/>
      <w:lvlJc w:val="left"/>
      <w:pPr>
        <w:tabs>
          <w:tab w:val="num" w:pos="1080"/>
        </w:tabs>
        <w:ind w:left="1080" w:hanging="360"/>
      </w:pPr>
      <w:rPr>
        <w:rFonts w:hint="default"/>
        <w:b w:val="0"/>
        <w:i w:val="0"/>
      </w:rPr>
    </w:lvl>
    <w:lvl w:ilvl="1" w:tplc="56321B66">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7622B"/>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2D0D77C7"/>
    <w:multiLevelType w:val="hybridMultilevel"/>
    <w:tmpl w:val="F224DBA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712C05"/>
    <w:multiLevelType w:val="hybridMultilevel"/>
    <w:tmpl w:val="F43AE6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BD35B8B"/>
    <w:multiLevelType w:val="hybridMultilevel"/>
    <w:tmpl w:val="C20275C2"/>
    <w:lvl w:ilvl="0" w:tplc="F66AC6FA">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1311FC"/>
    <w:multiLevelType w:val="hybridMultilevel"/>
    <w:tmpl w:val="5BA2AA46"/>
    <w:lvl w:ilvl="0" w:tplc="9F5867A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nsid w:val="4F425A0C"/>
    <w:multiLevelType w:val="hybridMultilevel"/>
    <w:tmpl w:val="A33A5A78"/>
    <w:lvl w:ilvl="0" w:tplc="3E9AF368">
      <w:start w:val="1"/>
      <w:numFmt w:val="decimal"/>
      <w:lvlText w:val="%1."/>
      <w:lvlJc w:val="left"/>
      <w:pPr>
        <w:tabs>
          <w:tab w:val="num" w:pos="1440"/>
        </w:tabs>
        <w:ind w:left="1440" w:hanging="360"/>
      </w:pPr>
      <w:rPr>
        <w:color w:val="auto"/>
      </w:rPr>
    </w:lvl>
    <w:lvl w:ilvl="1" w:tplc="2320E52A">
      <w:start w:val="1"/>
      <w:numFmt w:val="russianLower"/>
      <w:lvlText w:val="%2)"/>
      <w:lvlJc w:val="left"/>
      <w:pPr>
        <w:tabs>
          <w:tab w:val="num" w:pos="2160"/>
        </w:tabs>
        <w:ind w:left="2160" w:hanging="360"/>
      </w:pPr>
      <w:rPr>
        <w:rFonts w:hint="default"/>
        <w:b w:val="0"/>
        <w:i w:val="0"/>
        <w:sz w:val="24"/>
        <w:szCs w:val="24"/>
      </w:rPr>
    </w:lvl>
    <w:lvl w:ilvl="2" w:tplc="04190001">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4AA41E7"/>
    <w:multiLevelType w:val="hybridMultilevel"/>
    <w:tmpl w:val="96302FDA"/>
    <w:lvl w:ilvl="0" w:tplc="71CC1546">
      <w:start w:val="1"/>
      <w:numFmt w:val="russianLower"/>
      <w:lvlText w:val="%1)"/>
      <w:lvlJc w:val="left"/>
      <w:pPr>
        <w:tabs>
          <w:tab w:val="num" w:pos="1440"/>
        </w:tabs>
        <w:ind w:left="1440" w:hanging="360"/>
      </w:pPr>
      <w:rPr>
        <w:rFonts w:hint="default"/>
        <w:b w:val="0"/>
        <w:i w:val="0"/>
      </w:rPr>
    </w:lvl>
    <w:lvl w:ilvl="1" w:tplc="2BD6F9EC">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931F1D"/>
    <w:multiLevelType w:val="hybridMultilevel"/>
    <w:tmpl w:val="284C56EE"/>
    <w:lvl w:ilvl="0" w:tplc="4C3C1B1A">
      <w:start w:val="1"/>
      <w:numFmt w:val="decimal"/>
      <w:lvlText w:val="%1."/>
      <w:lvlJc w:val="left"/>
      <w:pPr>
        <w:tabs>
          <w:tab w:val="num" w:pos="1211"/>
        </w:tabs>
        <w:ind w:left="207" w:firstLine="644"/>
      </w:pPr>
      <w:rPr>
        <w:rFonts w:hint="default"/>
        <w:color w:val="auto"/>
        <w:lang w:val="ru-RU"/>
      </w:rPr>
    </w:lvl>
    <w:lvl w:ilvl="1" w:tplc="0D5CE200">
      <w:start w:val="1"/>
      <w:numFmt w:val="russianLower"/>
      <w:lvlText w:val="%2)"/>
      <w:lvlJc w:val="left"/>
      <w:pPr>
        <w:tabs>
          <w:tab w:val="num" w:pos="1440"/>
        </w:tabs>
        <w:ind w:left="1440" w:hanging="360"/>
      </w:pPr>
      <w:rPr>
        <w:rFonts w:hint="default"/>
        <w:b w:val="0"/>
        <w:i w:val="0"/>
        <w:sz w:val="22"/>
        <w:szCs w:val="22"/>
        <w:lang w:val="en-U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7334DD"/>
    <w:multiLevelType w:val="multilevel"/>
    <w:tmpl w:val="F43AE62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63004562"/>
    <w:multiLevelType w:val="hybridMultilevel"/>
    <w:tmpl w:val="FD82EF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3A57CCF"/>
    <w:multiLevelType w:val="hybridMultilevel"/>
    <w:tmpl w:val="1332BF32"/>
    <w:lvl w:ilvl="0" w:tplc="6C2AE1D6">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C70624"/>
    <w:multiLevelType w:val="hybridMultilevel"/>
    <w:tmpl w:val="7F74EBEC"/>
    <w:lvl w:ilvl="0" w:tplc="9F5867A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2">
    <w:nsid w:val="64055BE3"/>
    <w:multiLevelType w:val="hybridMultilevel"/>
    <w:tmpl w:val="4AB46828"/>
    <w:lvl w:ilvl="0" w:tplc="480E930E">
      <w:start w:val="1"/>
      <w:numFmt w:val="decimal"/>
      <w:lvlText w:val="%1."/>
      <w:lvlJc w:val="left"/>
      <w:pPr>
        <w:tabs>
          <w:tab w:val="num" w:pos="1211"/>
        </w:tabs>
        <w:ind w:left="207" w:firstLine="644"/>
      </w:pPr>
      <w:rPr>
        <w:rFonts w:hint="default"/>
        <w:lang w:val="en-US"/>
      </w:rPr>
    </w:lvl>
    <w:lvl w:ilvl="1" w:tplc="471EB752">
      <w:start w:val="1"/>
      <w:numFmt w:val="russianLower"/>
      <w:lvlText w:val="%2)"/>
      <w:lvlJc w:val="left"/>
      <w:pPr>
        <w:tabs>
          <w:tab w:val="num" w:pos="1440"/>
        </w:tabs>
        <w:ind w:left="1440" w:hanging="360"/>
      </w:pPr>
      <w:rPr>
        <w:rFonts w:hint="default"/>
        <w:b w:val="0"/>
        <w:i w:val="0"/>
        <w:sz w:val="24"/>
        <w:szCs w:val="24"/>
        <w:lang w:val="en-US"/>
      </w:rPr>
    </w:lvl>
    <w:lvl w:ilvl="2" w:tplc="91782588">
      <w:start w:val="1"/>
      <w:numFmt w:val="decimal"/>
      <w:lvlText w:val="%3"/>
      <w:lvlJc w:val="left"/>
      <w:pPr>
        <w:tabs>
          <w:tab w:val="num" w:pos="1800"/>
        </w:tabs>
        <w:ind w:left="18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CD562F"/>
    <w:multiLevelType w:val="hybridMultilevel"/>
    <w:tmpl w:val="37343C46"/>
    <w:lvl w:ilvl="0" w:tplc="2BD6F9EC">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217B80"/>
    <w:multiLevelType w:val="hybridMultilevel"/>
    <w:tmpl w:val="7308649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73346C80"/>
    <w:multiLevelType w:val="hybridMultilevel"/>
    <w:tmpl w:val="5B3EAD44"/>
    <w:lvl w:ilvl="0" w:tplc="A02E928A">
      <w:start w:val="1"/>
      <w:numFmt w:val="russianLower"/>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6">
    <w:nsid w:val="74DE27BE"/>
    <w:multiLevelType w:val="hybridMultilevel"/>
    <w:tmpl w:val="57408B5C"/>
    <w:lvl w:ilvl="0" w:tplc="0316D95C">
      <w:start w:val="1"/>
      <w:numFmt w:val="russianLower"/>
      <w:lvlText w:val="%1)"/>
      <w:lvlJc w:val="left"/>
      <w:pPr>
        <w:tabs>
          <w:tab w:val="num" w:pos="1440"/>
        </w:tabs>
        <w:ind w:left="1440" w:hanging="360"/>
      </w:pPr>
      <w:rPr>
        <w:rFonts w:hint="default"/>
        <w:b w:val="0"/>
        <w:i w:val="0"/>
      </w:rPr>
    </w:lvl>
    <w:lvl w:ilvl="1" w:tplc="0316D95C">
      <w:start w:val="1"/>
      <w:numFmt w:val="russianLower"/>
      <w:lvlText w:val="%2)"/>
      <w:lvlJc w:val="left"/>
      <w:pPr>
        <w:tabs>
          <w:tab w:val="num" w:pos="928"/>
        </w:tabs>
        <w:ind w:left="928"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FD1570"/>
    <w:multiLevelType w:val="hybridMultilevel"/>
    <w:tmpl w:val="2F7CF460"/>
    <w:lvl w:ilvl="0" w:tplc="480E930E">
      <w:start w:val="1"/>
      <w:numFmt w:val="decimal"/>
      <w:lvlText w:val="%1."/>
      <w:lvlJc w:val="left"/>
      <w:pPr>
        <w:tabs>
          <w:tab w:val="num" w:pos="1211"/>
        </w:tabs>
        <w:ind w:left="207" w:firstLine="644"/>
      </w:pPr>
      <w:rPr>
        <w:rFonts w:hint="default"/>
        <w:lang w:val="en-US"/>
      </w:rPr>
    </w:lvl>
    <w:lvl w:ilvl="1" w:tplc="BD02974E">
      <w:start w:val="1"/>
      <w:numFmt w:val="russianLower"/>
      <w:lvlText w:val="%2)"/>
      <w:lvlJc w:val="left"/>
      <w:pPr>
        <w:tabs>
          <w:tab w:val="num" w:pos="1440"/>
        </w:tabs>
        <w:ind w:left="1440" w:hanging="360"/>
      </w:pPr>
      <w:rPr>
        <w:rFonts w:hint="default"/>
        <w:i w:val="0"/>
        <w:color w:val="auto"/>
      </w:rPr>
    </w:lvl>
    <w:lvl w:ilvl="2" w:tplc="04190011">
      <w:start w:val="1"/>
      <w:numFmt w:val="decimal"/>
      <w:lvlText w:val="%3)"/>
      <w:lvlJc w:val="left"/>
      <w:pPr>
        <w:tabs>
          <w:tab w:val="num" w:pos="2340"/>
        </w:tabs>
        <w:ind w:left="2340" w:hanging="360"/>
      </w:pPr>
      <w:rPr>
        <w:rFonts w:hint="default"/>
      </w:rPr>
    </w:lvl>
    <w:lvl w:ilvl="3" w:tplc="C0061850">
      <w:start w:val="1"/>
      <w:numFmt w:val="russianLower"/>
      <w:lvlText w:val="%4)"/>
      <w:lvlJc w:val="left"/>
      <w:pPr>
        <w:tabs>
          <w:tab w:val="num" w:pos="2880"/>
        </w:tabs>
        <w:ind w:left="2880" w:hanging="360"/>
      </w:pPr>
      <w:rPr>
        <w:rFonts w:hint="default"/>
        <w:lang w:val="en-US"/>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046592"/>
    <w:multiLevelType w:val="hybridMultilevel"/>
    <w:tmpl w:val="BC3E2E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7C274151"/>
    <w:multiLevelType w:val="hybridMultilevel"/>
    <w:tmpl w:val="2508F14A"/>
    <w:lvl w:ilvl="0" w:tplc="CEAC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7207B9"/>
    <w:multiLevelType w:val="hybridMultilevel"/>
    <w:tmpl w:val="BE288C26"/>
    <w:lvl w:ilvl="0" w:tplc="CEAC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C744EC"/>
    <w:multiLevelType w:val="hybridMultilevel"/>
    <w:tmpl w:val="725CCF18"/>
    <w:lvl w:ilvl="0" w:tplc="7B54BA1A">
      <w:start w:val="1"/>
      <w:numFmt w:val="decimal"/>
      <w:lvlText w:val="%1."/>
      <w:lvlJc w:val="left"/>
      <w:pPr>
        <w:tabs>
          <w:tab w:val="num" w:pos="786"/>
        </w:tabs>
        <w:ind w:left="-218" w:firstLine="644"/>
      </w:pPr>
      <w:rPr>
        <w:rFonts w:hint="default"/>
        <w:strike w:val="0"/>
        <w:dstrike w:val="0"/>
      </w:rPr>
    </w:lvl>
    <w:lvl w:ilvl="1" w:tplc="89483A48">
      <w:start w:val="1"/>
      <w:numFmt w:val="russianLower"/>
      <w:lvlText w:val="%2)"/>
      <w:lvlJc w:val="left"/>
      <w:pPr>
        <w:tabs>
          <w:tab w:val="num" w:pos="1440"/>
        </w:tabs>
        <w:ind w:left="1440" w:hanging="360"/>
      </w:pPr>
      <w:rPr>
        <w:rFonts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2"/>
  </w:num>
  <w:num w:numId="4">
    <w:abstractNumId w:val="24"/>
  </w:num>
  <w:num w:numId="5">
    <w:abstractNumId w:val="8"/>
  </w:num>
  <w:num w:numId="6">
    <w:abstractNumId w:val="31"/>
  </w:num>
  <w:num w:numId="7">
    <w:abstractNumId w:val="9"/>
  </w:num>
  <w:num w:numId="8">
    <w:abstractNumId w:val="0"/>
  </w:num>
  <w:num w:numId="9">
    <w:abstractNumId w:val="26"/>
  </w:num>
  <w:num w:numId="10">
    <w:abstractNumId w:val="17"/>
  </w:num>
  <w:num w:numId="11">
    <w:abstractNumId w:val="16"/>
  </w:num>
  <w:num w:numId="12">
    <w:abstractNumId w:val="11"/>
  </w:num>
  <w:num w:numId="13">
    <w:abstractNumId w:val="5"/>
  </w:num>
  <w:num w:numId="14">
    <w:abstractNumId w:val="23"/>
  </w:num>
  <w:num w:numId="15">
    <w:abstractNumId w:val="1"/>
  </w:num>
  <w:num w:numId="16">
    <w:abstractNumId w:val="7"/>
  </w:num>
  <w:num w:numId="17">
    <w:abstractNumId w:val="28"/>
  </w:num>
  <w:num w:numId="18">
    <w:abstractNumId w:val="19"/>
  </w:num>
  <w:num w:numId="19">
    <w:abstractNumId w:val="25"/>
  </w:num>
  <w:num w:numId="20">
    <w:abstractNumId w:val="13"/>
  </w:num>
  <w:num w:numId="21">
    <w:abstractNumId w:val="20"/>
  </w:num>
  <w:num w:numId="22">
    <w:abstractNumId w:val="6"/>
  </w:num>
  <w:num w:numId="23">
    <w:abstractNumId w:val="12"/>
  </w:num>
  <w:num w:numId="24">
    <w:abstractNumId w:val="18"/>
  </w:num>
  <w:num w:numId="25">
    <w:abstractNumId w:val="14"/>
  </w:num>
  <w:num w:numId="26">
    <w:abstractNumId w:val="21"/>
  </w:num>
  <w:num w:numId="27">
    <w:abstractNumId w:val="3"/>
  </w:num>
  <w:num w:numId="28">
    <w:abstractNumId w:val="2"/>
  </w:num>
  <w:num w:numId="29">
    <w:abstractNumId w:val="10"/>
  </w:num>
  <w:num w:numId="30">
    <w:abstractNumId w:val="4"/>
  </w:num>
  <w:num w:numId="31">
    <w:abstractNumId w:val="2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4094"/>
    <w:rsid w:val="00000F70"/>
    <w:rsid w:val="000015DF"/>
    <w:rsid w:val="0000318C"/>
    <w:rsid w:val="00003809"/>
    <w:rsid w:val="00004A32"/>
    <w:rsid w:val="00004A46"/>
    <w:rsid w:val="00004D8A"/>
    <w:rsid w:val="00010068"/>
    <w:rsid w:val="00011888"/>
    <w:rsid w:val="00012287"/>
    <w:rsid w:val="000123C5"/>
    <w:rsid w:val="00013C99"/>
    <w:rsid w:val="00013CED"/>
    <w:rsid w:val="00013F8F"/>
    <w:rsid w:val="000155A0"/>
    <w:rsid w:val="00016A3C"/>
    <w:rsid w:val="00016B3C"/>
    <w:rsid w:val="0001750F"/>
    <w:rsid w:val="00020968"/>
    <w:rsid w:val="000216A4"/>
    <w:rsid w:val="00022052"/>
    <w:rsid w:val="00023D4F"/>
    <w:rsid w:val="00024962"/>
    <w:rsid w:val="0002538E"/>
    <w:rsid w:val="000262FF"/>
    <w:rsid w:val="00030138"/>
    <w:rsid w:val="00030942"/>
    <w:rsid w:val="000324A9"/>
    <w:rsid w:val="000342D9"/>
    <w:rsid w:val="0003534C"/>
    <w:rsid w:val="0003538B"/>
    <w:rsid w:val="000411AA"/>
    <w:rsid w:val="0004157A"/>
    <w:rsid w:val="00042982"/>
    <w:rsid w:val="00042B73"/>
    <w:rsid w:val="00042FA5"/>
    <w:rsid w:val="000455EC"/>
    <w:rsid w:val="0004565A"/>
    <w:rsid w:val="000468B4"/>
    <w:rsid w:val="0004737A"/>
    <w:rsid w:val="00051C7A"/>
    <w:rsid w:val="00051D5F"/>
    <w:rsid w:val="000527B9"/>
    <w:rsid w:val="000534EC"/>
    <w:rsid w:val="0005496E"/>
    <w:rsid w:val="000558A5"/>
    <w:rsid w:val="00057360"/>
    <w:rsid w:val="00060008"/>
    <w:rsid w:val="00060987"/>
    <w:rsid w:val="00061099"/>
    <w:rsid w:val="0006216A"/>
    <w:rsid w:val="0006359D"/>
    <w:rsid w:val="00064AF5"/>
    <w:rsid w:val="000670B9"/>
    <w:rsid w:val="00070DE4"/>
    <w:rsid w:val="00071852"/>
    <w:rsid w:val="000718DA"/>
    <w:rsid w:val="00071ED6"/>
    <w:rsid w:val="00073F77"/>
    <w:rsid w:val="00074500"/>
    <w:rsid w:val="000768BE"/>
    <w:rsid w:val="00076C12"/>
    <w:rsid w:val="00076D2B"/>
    <w:rsid w:val="0007787F"/>
    <w:rsid w:val="00077957"/>
    <w:rsid w:val="00077A59"/>
    <w:rsid w:val="000810FB"/>
    <w:rsid w:val="00081D8A"/>
    <w:rsid w:val="00082703"/>
    <w:rsid w:val="00083767"/>
    <w:rsid w:val="00083B5F"/>
    <w:rsid w:val="00083B72"/>
    <w:rsid w:val="00084521"/>
    <w:rsid w:val="00086A47"/>
    <w:rsid w:val="00091A59"/>
    <w:rsid w:val="00091E13"/>
    <w:rsid w:val="0009233A"/>
    <w:rsid w:val="00092B31"/>
    <w:rsid w:val="0009407F"/>
    <w:rsid w:val="0009413F"/>
    <w:rsid w:val="0009653D"/>
    <w:rsid w:val="00097E75"/>
    <w:rsid w:val="000A03C7"/>
    <w:rsid w:val="000A1036"/>
    <w:rsid w:val="000A1203"/>
    <w:rsid w:val="000A30E8"/>
    <w:rsid w:val="000A5846"/>
    <w:rsid w:val="000A5DB1"/>
    <w:rsid w:val="000A7C7C"/>
    <w:rsid w:val="000B0199"/>
    <w:rsid w:val="000B01C0"/>
    <w:rsid w:val="000B0C28"/>
    <w:rsid w:val="000B148B"/>
    <w:rsid w:val="000B233B"/>
    <w:rsid w:val="000B2660"/>
    <w:rsid w:val="000B280C"/>
    <w:rsid w:val="000B290D"/>
    <w:rsid w:val="000B2F9C"/>
    <w:rsid w:val="000B31E8"/>
    <w:rsid w:val="000B334E"/>
    <w:rsid w:val="000B3FD6"/>
    <w:rsid w:val="000B40ED"/>
    <w:rsid w:val="000B5299"/>
    <w:rsid w:val="000B5338"/>
    <w:rsid w:val="000B6348"/>
    <w:rsid w:val="000B690C"/>
    <w:rsid w:val="000B6BC4"/>
    <w:rsid w:val="000C0FDE"/>
    <w:rsid w:val="000C2691"/>
    <w:rsid w:val="000C26F2"/>
    <w:rsid w:val="000C31EA"/>
    <w:rsid w:val="000C3341"/>
    <w:rsid w:val="000D0D9E"/>
    <w:rsid w:val="000D2993"/>
    <w:rsid w:val="000D363B"/>
    <w:rsid w:val="000D78A3"/>
    <w:rsid w:val="000E0280"/>
    <w:rsid w:val="000E1DC7"/>
    <w:rsid w:val="000E223C"/>
    <w:rsid w:val="000E25A1"/>
    <w:rsid w:val="000E2C1F"/>
    <w:rsid w:val="000E3427"/>
    <w:rsid w:val="000E347F"/>
    <w:rsid w:val="000E4136"/>
    <w:rsid w:val="000E4BEF"/>
    <w:rsid w:val="000E59E6"/>
    <w:rsid w:val="000E5E5D"/>
    <w:rsid w:val="000E6910"/>
    <w:rsid w:val="000F3099"/>
    <w:rsid w:val="000F3AEC"/>
    <w:rsid w:val="000F3B93"/>
    <w:rsid w:val="000F59A5"/>
    <w:rsid w:val="000F6F58"/>
    <w:rsid w:val="001006B3"/>
    <w:rsid w:val="00100A49"/>
    <w:rsid w:val="00100BEC"/>
    <w:rsid w:val="001015EF"/>
    <w:rsid w:val="0010208A"/>
    <w:rsid w:val="00102B52"/>
    <w:rsid w:val="00103112"/>
    <w:rsid w:val="00103468"/>
    <w:rsid w:val="00103C7B"/>
    <w:rsid w:val="00106102"/>
    <w:rsid w:val="001063A6"/>
    <w:rsid w:val="00106EB9"/>
    <w:rsid w:val="00107600"/>
    <w:rsid w:val="00107B31"/>
    <w:rsid w:val="00110684"/>
    <w:rsid w:val="001106ED"/>
    <w:rsid w:val="00110CA7"/>
    <w:rsid w:val="00111075"/>
    <w:rsid w:val="0011183E"/>
    <w:rsid w:val="001119EB"/>
    <w:rsid w:val="00113192"/>
    <w:rsid w:val="001143E6"/>
    <w:rsid w:val="00114B57"/>
    <w:rsid w:val="00115440"/>
    <w:rsid w:val="001164F2"/>
    <w:rsid w:val="00116764"/>
    <w:rsid w:val="00120307"/>
    <w:rsid w:val="00120E7F"/>
    <w:rsid w:val="00121B56"/>
    <w:rsid w:val="00122A9B"/>
    <w:rsid w:val="00127475"/>
    <w:rsid w:val="00130E68"/>
    <w:rsid w:val="00132848"/>
    <w:rsid w:val="00133D1B"/>
    <w:rsid w:val="001346CD"/>
    <w:rsid w:val="0013545E"/>
    <w:rsid w:val="00136AD0"/>
    <w:rsid w:val="001405AE"/>
    <w:rsid w:val="00140EE1"/>
    <w:rsid w:val="00143403"/>
    <w:rsid w:val="00145364"/>
    <w:rsid w:val="0015002D"/>
    <w:rsid w:val="00151B59"/>
    <w:rsid w:val="0015471B"/>
    <w:rsid w:val="001551E7"/>
    <w:rsid w:val="00156C8B"/>
    <w:rsid w:val="00160567"/>
    <w:rsid w:val="00160A46"/>
    <w:rsid w:val="0016192C"/>
    <w:rsid w:val="00165014"/>
    <w:rsid w:val="001656DD"/>
    <w:rsid w:val="00170F19"/>
    <w:rsid w:val="001713DB"/>
    <w:rsid w:val="001718F2"/>
    <w:rsid w:val="00171A9A"/>
    <w:rsid w:val="00173259"/>
    <w:rsid w:val="00176268"/>
    <w:rsid w:val="00176D36"/>
    <w:rsid w:val="00180215"/>
    <w:rsid w:val="001807DD"/>
    <w:rsid w:val="00181CDD"/>
    <w:rsid w:val="001851D8"/>
    <w:rsid w:val="001869CC"/>
    <w:rsid w:val="00190520"/>
    <w:rsid w:val="00190AC1"/>
    <w:rsid w:val="001914A2"/>
    <w:rsid w:val="001A3BD8"/>
    <w:rsid w:val="001A5476"/>
    <w:rsid w:val="001A66D4"/>
    <w:rsid w:val="001A6CC3"/>
    <w:rsid w:val="001A78D5"/>
    <w:rsid w:val="001B0E75"/>
    <w:rsid w:val="001B21CE"/>
    <w:rsid w:val="001B2647"/>
    <w:rsid w:val="001B293B"/>
    <w:rsid w:val="001B2DD9"/>
    <w:rsid w:val="001B326F"/>
    <w:rsid w:val="001B5177"/>
    <w:rsid w:val="001B75A7"/>
    <w:rsid w:val="001C031B"/>
    <w:rsid w:val="001C0543"/>
    <w:rsid w:val="001C062A"/>
    <w:rsid w:val="001C0D8C"/>
    <w:rsid w:val="001C2DFB"/>
    <w:rsid w:val="001C3DA9"/>
    <w:rsid w:val="001C3FC2"/>
    <w:rsid w:val="001C4864"/>
    <w:rsid w:val="001C4BBC"/>
    <w:rsid w:val="001C4CB7"/>
    <w:rsid w:val="001C4F8D"/>
    <w:rsid w:val="001C67A6"/>
    <w:rsid w:val="001C7B54"/>
    <w:rsid w:val="001C7D30"/>
    <w:rsid w:val="001D0C47"/>
    <w:rsid w:val="001D1B7E"/>
    <w:rsid w:val="001D27A7"/>
    <w:rsid w:val="001D29B5"/>
    <w:rsid w:val="001D4DFD"/>
    <w:rsid w:val="001D6181"/>
    <w:rsid w:val="001D71AE"/>
    <w:rsid w:val="001D7F74"/>
    <w:rsid w:val="001E081B"/>
    <w:rsid w:val="001E0FBC"/>
    <w:rsid w:val="001E1179"/>
    <w:rsid w:val="001E7C03"/>
    <w:rsid w:val="001F2472"/>
    <w:rsid w:val="001F54A1"/>
    <w:rsid w:val="001F5C37"/>
    <w:rsid w:val="001F6A38"/>
    <w:rsid w:val="001F6D4A"/>
    <w:rsid w:val="001F730D"/>
    <w:rsid w:val="001F7A23"/>
    <w:rsid w:val="002020F9"/>
    <w:rsid w:val="0020482E"/>
    <w:rsid w:val="00206241"/>
    <w:rsid w:val="002108D7"/>
    <w:rsid w:val="00210E85"/>
    <w:rsid w:val="00211776"/>
    <w:rsid w:val="002117AE"/>
    <w:rsid w:val="002119F7"/>
    <w:rsid w:val="00211F39"/>
    <w:rsid w:val="00212910"/>
    <w:rsid w:val="00213750"/>
    <w:rsid w:val="00213F30"/>
    <w:rsid w:val="002151CF"/>
    <w:rsid w:val="00216091"/>
    <w:rsid w:val="00216794"/>
    <w:rsid w:val="0021680F"/>
    <w:rsid w:val="00216876"/>
    <w:rsid w:val="0021690A"/>
    <w:rsid w:val="002175FB"/>
    <w:rsid w:val="0022031D"/>
    <w:rsid w:val="00220FA3"/>
    <w:rsid w:val="0022146A"/>
    <w:rsid w:val="00221A9B"/>
    <w:rsid w:val="002236AC"/>
    <w:rsid w:val="00223727"/>
    <w:rsid w:val="0022701E"/>
    <w:rsid w:val="002272AB"/>
    <w:rsid w:val="0023040F"/>
    <w:rsid w:val="00230AA7"/>
    <w:rsid w:val="002331E4"/>
    <w:rsid w:val="00235DBD"/>
    <w:rsid w:val="00235E1E"/>
    <w:rsid w:val="00237BE4"/>
    <w:rsid w:val="00237C41"/>
    <w:rsid w:val="002410C2"/>
    <w:rsid w:val="00243431"/>
    <w:rsid w:val="002464A3"/>
    <w:rsid w:val="0025046F"/>
    <w:rsid w:val="00250A8A"/>
    <w:rsid w:val="00250CFC"/>
    <w:rsid w:val="00250D6C"/>
    <w:rsid w:val="002536D4"/>
    <w:rsid w:val="0025475A"/>
    <w:rsid w:val="00254C19"/>
    <w:rsid w:val="00254E1A"/>
    <w:rsid w:val="00255A7C"/>
    <w:rsid w:val="00260030"/>
    <w:rsid w:val="00260E1B"/>
    <w:rsid w:val="00260E93"/>
    <w:rsid w:val="002613FD"/>
    <w:rsid w:val="00261D79"/>
    <w:rsid w:val="00261D7E"/>
    <w:rsid w:val="00262EDB"/>
    <w:rsid w:val="00263766"/>
    <w:rsid w:val="00265BD2"/>
    <w:rsid w:val="0026649F"/>
    <w:rsid w:val="00266730"/>
    <w:rsid w:val="00267E91"/>
    <w:rsid w:val="00267F20"/>
    <w:rsid w:val="00270D3A"/>
    <w:rsid w:val="00271594"/>
    <w:rsid w:val="002720BC"/>
    <w:rsid w:val="002748B2"/>
    <w:rsid w:val="00274B44"/>
    <w:rsid w:val="00275510"/>
    <w:rsid w:val="0027651B"/>
    <w:rsid w:val="002772FE"/>
    <w:rsid w:val="00277A85"/>
    <w:rsid w:val="0028159C"/>
    <w:rsid w:val="002824B2"/>
    <w:rsid w:val="00283D95"/>
    <w:rsid w:val="002852A7"/>
    <w:rsid w:val="00286645"/>
    <w:rsid w:val="00290C6E"/>
    <w:rsid w:val="002911C5"/>
    <w:rsid w:val="00291422"/>
    <w:rsid w:val="002928BC"/>
    <w:rsid w:val="00293FF1"/>
    <w:rsid w:val="00294F49"/>
    <w:rsid w:val="002955DE"/>
    <w:rsid w:val="00297199"/>
    <w:rsid w:val="002972F0"/>
    <w:rsid w:val="00297BD5"/>
    <w:rsid w:val="002A0079"/>
    <w:rsid w:val="002A0747"/>
    <w:rsid w:val="002A0CD5"/>
    <w:rsid w:val="002A188A"/>
    <w:rsid w:val="002A1959"/>
    <w:rsid w:val="002A2470"/>
    <w:rsid w:val="002A2778"/>
    <w:rsid w:val="002A3635"/>
    <w:rsid w:val="002A4609"/>
    <w:rsid w:val="002A4F80"/>
    <w:rsid w:val="002A6616"/>
    <w:rsid w:val="002A7266"/>
    <w:rsid w:val="002B0F5C"/>
    <w:rsid w:val="002B11BE"/>
    <w:rsid w:val="002B1B6D"/>
    <w:rsid w:val="002B2012"/>
    <w:rsid w:val="002B2449"/>
    <w:rsid w:val="002B371D"/>
    <w:rsid w:val="002B40C9"/>
    <w:rsid w:val="002B4598"/>
    <w:rsid w:val="002B4A7A"/>
    <w:rsid w:val="002B4AEE"/>
    <w:rsid w:val="002B5B21"/>
    <w:rsid w:val="002C1657"/>
    <w:rsid w:val="002C1CE2"/>
    <w:rsid w:val="002C389B"/>
    <w:rsid w:val="002C4EFA"/>
    <w:rsid w:val="002C5AA1"/>
    <w:rsid w:val="002C5DD1"/>
    <w:rsid w:val="002C63D2"/>
    <w:rsid w:val="002D048A"/>
    <w:rsid w:val="002D459F"/>
    <w:rsid w:val="002D6C9B"/>
    <w:rsid w:val="002D70C5"/>
    <w:rsid w:val="002E0454"/>
    <w:rsid w:val="002E1DA2"/>
    <w:rsid w:val="002E1DAB"/>
    <w:rsid w:val="002E2E2E"/>
    <w:rsid w:val="002E4ACE"/>
    <w:rsid w:val="002E705F"/>
    <w:rsid w:val="002F1824"/>
    <w:rsid w:val="002F37C1"/>
    <w:rsid w:val="002F453F"/>
    <w:rsid w:val="002F4BCE"/>
    <w:rsid w:val="002F6299"/>
    <w:rsid w:val="002F67F8"/>
    <w:rsid w:val="002F7447"/>
    <w:rsid w:val="003002BD"/>
    <w:rsid w:val="00300703"/>
    <w:rsid w:val="00300A67"/>
    <w:rsid w:val="00301D11"/>
    <w:rsid w:val="003025C1"/>
    <w:rsid w:val="00303111"/>
    <w:rsid w:val="00306941"/>
    <w:rsid w:val="00307180"/>
    <w:rsid w:val="00310CC1"/>
    <w:rsid w:val="00310FBA"/>
    <w:rsid w:val="00311369"/>
    <w:rsid w:val="0031427F"/>
    <w:rsid w:val="003144A9"/>
    <w:rsid w:val="003162DA"/>
    <w:rsid w:val="003171D8"/>
    <w:rsid w:val="003174B5"/>
    <w:rsid w:val="0031754C"/>
    <w:rsid w:val="0032197B"/>
    <w:rsid w:val="0032375D"/>
    <w:rsid w:val="00326D05"/>
    <w:rsid w:val="00326D70"/>
    <w:rsid w:val="00326DD0"/>
    <w:rsid w:val="00327BAF"/>
    <w:rsid w:val="00330559"/>
    <w:rsid w:val="00330D03"/>
    <w:rsid w:val="00330EE9"/>
    <w:rsid w:val="00330F36"/>
    <w:rsid w:val="00331E8C"/>
    <w:rsid w:val="00332042"/>
    <w:rsid w:val="003349C5"/>
    <w:rsid w:val="0033559F"/>
    <w:rsid w:val="003357A8"/>
    <w:rsid w:val="003366E3"/>
    <w:rsid w:val="003379D6"/>
    <w:rsid w:val="0034044B"/>
    <w:rsid w:val="00340F8D"/>
    <w:rsid w:val="0034229F"/>
    <w:rsid w:val="00342AC6"/>
    <w:rsid w:val="003443B5"/>
    <w:rsid w:val="00345ECD"/>
    <w:rsid w:val="00346B08"/>
    <w:rsid w:val="00347E38"/>
    <w:rsid w:val="0035010E"/>
    <w:rsid w:val="00350288"/>
    <w:rsid w:val="00351B09"/>
    <w:rsid w:val="00352742"/>
    <w:rsid w:val="00353217"/>
    <w:rsid w:val="00356332"/>
    <w:rsid w:val="00356E75"/>
    <w:rsid w:val="00361AA0"/>
    <w:rsid w:val="00362293"/>
    <w:rsid w:val="003622B5"/>
    <w:rsid w:val="00362484"/>
    <w:rsid w:val="00362882"/>
    <w:rsid w:val="00362FFB"/>
    <w:rsid w:val="00363DBD"/>
    <w:rsid w:val="00363DC4"/>
    <w:rsid w:val="003666A0"/>
    <w:rsid w:val="00366B7E"/>
    <w:rsid w:val="00367BAD"/>
    <w:rsid w:val="00370114"/>
    <w:rsid w:val="00372E86"/>
    <w:rsid w:val="00373E47"/>
    <w:rsid w:val="00373F47"/>
    <w:rsid w:val="003741FB"/>
    <w:rsid w:val="00374F8E"/>
    <w:rsid w:val="00375D7B"/>
    <w:rsid w:val="0037629B"/>
    <w:rsid w:val="00377867"/>
    <w:rsid w:val="0038427D"/>
    <w:rsid w:val="003906BF"/>
    <w:rsid w:val="00390EBD"/>
    <w:rsid w:val="00391E8C"/>
    <w:rsid w:val="00394B54"/>
    <w:rsid w:val="00396D62"/>
    <w:rsid w:val="003A0B02"/>
    <w:rsid w:val="003A1DA9"/>
    <w:rsid w:val="003A46AE"/>
    <w:rsid w:val="003A5DB2"/>
    <w:rsid w:val="003A7478"/>
    <w:rsid w:val="003B33C8"/>
    <w:rsid w:val="003B3A09"/>
    <w:rsid w:val="003B6696"/>
    <w:rsid w:val="003B7ABE"/>
    <w:rsid w:val="003C2165"/>
    <w:rsid w:val="003C66AC"/>
    <w:rsid w:val="003D0893"/>
    <w:rsid w:val="003D1CFF"/>
    <w:rsid w:val="003D2569"/>
    <w:rsid w:val="003D39AB"/>
    <w:rsid w:val="003D6483"/>
    <w:rsid w:val="003D76A3"/>
    <w:rsid w:val="003E110A"/>
    <w:rsid w:val="003E13F6"/>
    <w:rsid w:val="003E39B8"/>
    <w:rsid w:val="003E5EBE"/>
    <w:rsid w:val="003E630D"/>
    <w:rsid w:val="003E69EC"/>
    <w:rsid w:val="003F01B8"/>
    <w:rsid w:val="003F0C85"/>
    <w:rsid w:val="003F21BE"/>
    <w:rsid w:val="003F226A"/>
    <w:rsid w:val="003F30CB"/>
    <w:rsid w:val="003F3565"/>
    <w:rsid w:val="003F3826"/>
    <w:rsid w:val="003F393B"/>
    <w:rsid w:val="003F444D"/>
    <w:rsid w:val="003F4D9E"/>
    <w:rsid w:val="003F7DFE"/>
    <w:rsid w:val="004001B0"/>
    <w:rsid w:val="00400328"/>
    <w:rsid w:val="0040083E"/>
    <w:rsid w:val="0040248A"/>
    <w:rsid w:val="00402718"/>
    <w:rsid w:val="00403755"/>
    <w:rsid w:val="004044EE"/>
    <w:rsid w:val="00406FE2"/>
    <w:rsid w:val="004102B5"/>
    <w:rsid w:val="00410828"/>
    <w:rsid w:val="004116B2"/>
    <w:rsid w:val="00411907"/>
    <w:rsid w:val="004151C7"/>
    <w:rsid w:val="0041528F"/>
    <w:rsid w:val="00415719"/>
    <w:rsid w:val="004167C4"/>
    <w:rsid w:val="0041778E"/>
    <w:rsid w:val="00420013"/>
    <w:rsid w:val="004204DC"/>
    <w:rsid w:val="004223BF"/>
    <w:rsid w:val="00424970"/>
    <w:rsid w:val="0042529F"/>
    <w:rsid w:val="0042683C"/>
    <w:rsid w:val="00426C5E"/>
    <w:rsid w:val="00427584"/>
    <w:rsid w:val="00430099"/>
    <w:rsid w:val="004300D1"/>
    <w:rsid w:val="004304E1"/>
    <w:rsid w:val="0043060F"/>
    <w:rsid w:val="00432C96"/>
    <w:rsid w:val="0043455C"/>
    <w:rsid w:val="00435F4B"/>
    <w:rsid w:val="0043601F"/>
    <w:rsid w:val="004364F8"/>
    <w:rsid w:val="004365A3"/>
    <w:rsid w:val="00440358"/>
    <w:rsid w:val="00440AEB"/>
    <w:rsid w:val="004412C8"/>
    <w:rsid w:val="00441928"/>
    <w:rsid w:val="00442259"/>
    <w:rsid w:val="0044237D"/>
    <w:rsid w:val="004427DB"/>
    <w:rsid w:val="00445D47"/>
    <w:rsid w:val="00446E93"/>
    <w:rsid w:val="004477BA"/>
    <w:rsid w:val="00447CD1"/>
    <w:rsid w:val="0045007C"/>
    <w:rsid w:val="00451BC8"/>
    <w:rsid w:val="00451E8B"/>
    <w:rsid w:val="004531E9"/>
    <w:rsid w:val="0045386D"/>
    <w:rsid w:val="00455356"/>
    <w:rsid w:val="00456A0B"/>
    <w:rsid w:val="0045735C"/>
    <w:rsid w:val="00457FEE"/>
    <w:rsid w:val="0046205F"/>
    <w:rsid w:val="0046274D"/>
    <w:rsid w:val="004639B9"/>
    <w:rsid w:val="00463C96"/>
    <w:rsid w:val="004642C2"/>
    <w:rsid w:val="00465EEF"/>
    <w:rsid w:val="0046636C"/>
    <w:rsid w:val="00466416"/>
    <w:rsid w:val="00466714"/>
    <w:rsid w:val="0046720E"/>
    <w:rsid w:val="0046727A"/>
    <w:rsid w:val="00467BBF"/>
    <w:rsid w:val="00471077"/>
    <w:rsid w:val="004713CC"/>
    <w:rsid w:val="004715AE"/>
    <w:rsid w:val="0047323A"/>
    <w:rsid w:val="00473AA3"/>
    <w:rsid w:val="00476DE3"/>
    <w:rsid w:val="00482944"/>
    <w:rsid w:val="00482E83"/>
    <w:rsid w:val="00483128"/>
    <w:rsid w:val="00483474"/>
    <w:rsid w:val="004853E2"/>
    <w:rsid w:val="00487251"/>
    <w:rsid w:val="004934CD"/>
    <w:rsid w:val="00494AD5"/>
    <w:rsid w:val="004965A8"/>
    <w:rsid w:val="004A158E"/>
    <w:rsid w:val="004A4517"/>
    <w:rsid w:val="004A4ABC"/>
    <w:rsid w:val="004A5063"/>
    <w:rsid w:val="004A6A9C"/>
    <w:rsid w:val="004B0B84"/>
    <w:rsid w:val="004B0C22"/>
    <w:rsid w:val="004B1837"/>
    <w:rsid w:val="004B18BF"/>
    <w:rsid w:val="004B2270"/>
    <w:rsid w:val="004B493B"/>
    <w:rsid w:val="004B4D9E"/>
    <w:rsid w:val="004B563C"/>
    <w:rsid w:val="004B6B1A"/>
    <w:rsid w:val="004B720E"/>
    <w:rsid w:val="004C1AD0"/>
    <w:rsid w:val="004C2455"/>
    <w:rsid w:val="004C256F"/>
    <w:rsid w:val="004C314D"/>
    <w:rsid w:val="004C3647"/>
    <w:rsid w:val="004C37A0"/>
    <w:rsid w:val="004C3FD0"/>
    <w:rsid w:val="004C4588"/>
    <w:rsid w:val="004C57D3"/>
    <w:rsid w:val="004C58EB"/>
    <w:rsid w:val="004C710A"/>
    <w:rsid w:val="004C7686"/>
    <w:rsid w:val="004D0119"/>
    <w:rsid w:val="004D284D"/>
    <w:rsid w:val="004D6D8B"/>
    <w:rsid w:val="004D7034"/>
    <w:rsid w:val="004E3D76"/>
    <w:rsid w:val="004E3E32"/>
    <w:rsid w:val="004E4EC9"/>
    <w:rsid w:val="004E567B"/>
    <w:rsid w:val="004E5A33"/>
    <w:rsid w:val="004F193D"/>
    <w:rsid w:val="004F22DD"/>
    <w:rsid w:val="004F55D9"/>
    <w:rsid w:val="004F5666"/>
    <w:rsid w:val="004F578E"/>
    <w:rsid w:val="004F5DDB"/>
    <w:rsid w:val="004F66B6"/>
    <w:rsid w:val="004F6B34"/>
    <w:rsid w:val="005006E4"/>
    <w:rsid w:val="005019D6"/>
    <w:rsid w:val="00501B11"/>
    <w:rsid w:val="00501EB4"/>
    <w:rsid w:val="0050419E"/>
    <w:rsid w:val="00504515"/>
    <w:rsid w:val="005055F5"/>
    <w:rsid w:val="005127E6"/>
    <w:rsid w:val="00512835"/>
    <w:rsid w:val="00513891"/>
    <w:rsid w:val="0051669F"/>
    <w:rsid w:val="00516EB6"/>
    <w:rsid w:val="00521830"/>
    <w:rsid w:val="00524C4F"/>
    <w:rsid w:val="00525EDD"/>
    <w:rsid w:val="005265D0"/>
    <w:rsid w:val="00530DD0"/>
    <w:rsid w:val="00531231"/>
    <w:rsid w:val="00532ECE"/>
    <w:rsid w:val="00533220"/>
    <w:rsid w:val="00533D7E"/>
    <w:rsid w:val="00533E67"/>
    <w:rsid w:val="00534A51"/>
    <w:rsid w:val="005350D4"/>
    <w:rsid w:val="00535503"/>
    <w:rsid w:val="00537898"/>
    <w:rsid w:val="005436A7"/>
    <w:rsid w:val="00543B89"/>
    <w:rsid w:val="00543F79"/>
    <w:rsid w:val="0054456C"/>
    <w:rsid w:val="00546D69"/>
    <w:rsid w:val="00547638"/>
    <w:rsid w:val="00547881"/>
    <w:rsid w:val="00547B12"/>
    <w:rsid w:val="00547B18"/>
    <w:rsid w:val="00551F3D"/>
    <w:rsid w:val="00553839"/>
    <w:rsid w:val="00553BB5"/>
    <w:rsid w:val="00553CA0"/>
    <w:rsid w:val="00554490"/>
    <w:rsid w:val="00557C55"/>
    <w:rsid w:val="005613BA"/>
    <w:rsid w:val="00561DBA"/>
    <w:rsid w:val="005642A7"/>
    <w:rsid w:val="005649F6"/>
    <w:rsid w:val="005657AC"/>
    <w:rsid w:val="0056611B"/>
    <w:rsid w:val="005669D3"/>
    <w:rsid w:val="00567E9A"/>
    <w:rsid w:val="00571C50"/>
    <w:rsid w:val="00576352"/>
    <w:rsid w:val="00577B72"/>
    <w:rsid w:val="00580901"/>
    <w:rsid w:val="005811D3"/>
    <w:rsid w:val="00586464"/>
    <w:rsid w:val="00587A5F"/>
    <w:rsid w:val="00591123"/>
    <w:rsid w:val="00591C64"/>
    <w:rsid w:val="005926A5"/>
    <w:rsid w:val="00594003"/>
    <w:rsid w:val="00595CE7"/>
    <w:rsid w:val="00596B0D"/>
    <w:rsid w:val="005A03F8"/>
    <w:rsid w:val="005A0D38"/>
    <w:rsid w:val="005A148D"/>
    <w:rsid w:val="005A1778"/>
    <w:rsid w:val="005A40A6"/>
    <w:rsid w:val="005A7219"/>
    <w:rsid w:val="005A73BA"/>
    <w:rsid w:val="005B1397"/>
    <w:rsid w:val="005B14D3"/>
    <w:rsid w:val="005B1D27"/>
    <w:rsid w:val="005B2E35"/>
    <w:rsid w:val="005B36BC"/>
    <w:rsid w:val="005B4094"/>
    <w:rsid w:val="005B628D"/>
    <w:rsid w:val="005B6EB0"/>
    <w:rsid w:val="005B7118"/>
    <w:rsid w:val="005B7A62"/>
    <w:rsid w:val="005C0FA6"/>
    <w:rsid w:val="005C23FB"/>
    <w:rsid w:val="005C2463"/>
    <w:rsid w:val="005C2565"/>
    <w:rsid w:val="005C3C18"/>
    <w:rsid w:val="005C522C"/>
    <w:rsid w:val="005C5BA3"/>
    <w:rsid w:val="005D0600"/>
    <w:rsid w:val="005D1574"/>
    <w:rsid w:val="005D2E9B"/>
    <w:rsid w:val="005D415D"/>
    <w:rsid w:val="005D6227"/>
    <w:rsid w:val="005D6985"/>
    <w:rsid w:val="005E232A"/>
    <w:rsid w:val="005E6F66"/>
    <w:rsid w:val="005F1477"/>
    <w:rsid w:val="005F1541"/>
    <w:rsid w:val="005F419D"/>
    <w:rsid w:val="005F46DB"/>
    <w:rsid w:val="005F4730"/>
    <w:rsid w:val="005F66B6"/>
    <w:rsid w:val="005F7000"/>
    <w:rsid w:val="006019CA"/>
    <w:rsid w:val="00601DC1"/>
    <w:rsid w:val="006050D8"/>
    <w:rsid w:val="006051BC"/>
    <w:rsid w:val="0060618A"/>
    <w:rsid w:val="006077CF"/>
    <w:rsid w:val="0061010B"/>
    <w:rsid w:val="00610204"/>
    <w:rsid w:val="00611C10"/>
    <w:rsid w:val="006127B0"/>
    <w:rsid w:val="006134D6"/>
    <w:rsid w:val="00613E03"/>
    <w:rsid w:val="00614931"/>
    <w:rsid w:val="006230AC"/>
    <w:rsid w:val="00624888"/>
    <w:rsid w:val="0062664C"/>
    <w:rsid w:val="00626A49"/>
    <w:rsid w:val="00626F6B"/>
    <w:rsid w:val="006276C3"/>
    <w:rsid w:val="0063029F"/>
    <w:rsid w:val="006306E0"/>
    <w:rsid w:val="00631F93"/>
    <w:rsid w:val="00632571"/>
    <w:rsid w:val="00632746"/>
    <w:rsid w:val="006330F4"/>
    <w:rsid w:val="00633BD5"/>
    <w:rsid w:val="00635A49"/>
    <w:rsid w:val="00637EFA"/>
    <w:rsid w:val="006404C7"/>
    <w:rsid w:val="006404D1"/>
    <w:rsid w:val="00641FFA"/>
    <w:rsid w:val="006436D9"/>
    <w:rsid w:val="00643B05"/>
    <w:rsid w:val="00644D70"/>
    <w:rsid w:val="00647638"/>
    <w:rsid w:val="00650B89"/>
    <w:rsid w:val="00651EB6"/>
    <w:rsid w:val="00654090"/>
    <w:rsid w:val="0065569D"/>
    <w:rsid w:val="00656030"/>
    <w:rsid w:val="006578A2"/>
    <w:rsid w:val="00657ED5"/>
    <w:rsid w:val="00660738"/>
    <w:rsid w:val="00660B74"/>
    <w:rsid w:val="00664394"/>
    <w:rsid w:val="00665346"/>
    <w:rsid w:val="00666734"/>
    <w:rsid w:val="00667E29"/>
    <w:rsid w:val="00671D88"/>
    <w:rsid w:val="00674049"/>
    <w:rsid w:val="0067489A"/>
    <w:rsid w:val="00675903"/>
    <w:rsid w:val="00676FB0"/>
    <w:rsid w:val="006770C3"/>
    <w:rsid w:val="00677115"/>
    <w:rsid w:val="006772E2"/>
    <w:rsid w:val="00680DB0"/>
    <w:rsid w:val="0068273D"/>
    <w:rsid w:val="00683B22"/>
    <w:rsid w:val="0068515C"/>
    <w:rsid w:val="006852FB"/>
    <w:rsid w:val="006860C5"/>
    <w:rsid w:val="00686D95"/>
    <w:rsid w:val="006875CA"/>
    <w:rsid w:val="00687690"/>
    <w:rsid w:val="0068781A"/>
    <w:rsid w:val="00687ED7"/>
    <w:rsid w:val="0069006D"/>
    <w:rsid w:val="006907AF"/>
    <w:rsid w:val="00690D91"/>
    <w:rsid w:val="00692BAB"/>
    <w:rsid w:val="00692CE8"/>
    <w:rsid w:val="00693DAC"/>
    <w:rsid w:val="00694F26"/>
    <w:rsid w:val="00695CB1"/>
    <w:rsid w:val="00696156"/>
    <w:rsid w:val="00696401"/>
    <w:rsid w:val="00697EA4"/>
    <w:rsid w:val="00697FA3"/>
    <w:rsid w:val="006A0374"/>
    <w:rsid w:val="006A335C"/>
    <w:rsid w:val="006A35A9"/>
    <w:rsid w:val="006A3D13"/>
    <w:rsid w:val="006A4ACB"/>
    <w:rsid w:val="006B0EB3"/>
    <w:rsid w:val="006B1691"/>
    <w:rsid w:val="006B1DEE"/>
    <w:rsid w:val="006B2008"/>
    <w:rsid w:val="006B2E3C"/>
    <w:rsid w:val="006B45C4"/>
    <w:rsid w:val="006B6045"/>
    <w:rsid w:val="006C0129"/>
    <w:rsid w:val="006C1498"/>
    <w:rsid w:val="006C1893"/>
    <w:rsid w:val="006C3FDE"/>
    <w:rsid w:val="006C4E81"/>
    <w:rsid w:val="006C5744"/>
    <w:rsid w:val="006C6D62"/>
    <w:rsid w:val="006D0678"/>
    <w:rsid w:val="006D26D1"/>
    <w:rsid w:val="006D5D2D"/>
    <w:rsid w:val="006D6D88"/>
    <w:rsid w:val="006D6F06"/>
    <w:rsid w:val="006E189E"/>
    <w:rsid w:val="006E19B6"/>
    <w:rsid w:val="006E209C"/>
    <w:rsid w:val="006E2C0E"/>
    <w:rsid w:val="006E5006"/>
    <w:rsid w:val="006E5BA2"/>
    <w:rsid w:val="006E5E3A"/>
    <w:rsid w:val="006E64B2"/>
    <w:rsid w:val="006E691B"/>
    <w:rsid w:val="006E6EE7"/>
    <w:rsid w:val="006E730B"/>
    <w:rsid w:val="006E77AB"/>
    <w:rsid w:val="006F1D68"/>
    <w:rsid w:val="006F1FFD"/>
    <w:rsid w:val="006F227C"/>
    <w:rsid w:val="006F229D"/>
    <w:rsid w:val="006F2C38"/>
    <w:rsid w:val="006F4F93"/>
    <w:rsid w:val="006F708A"/>
    <w:rsid w:val="00704403"/>
    <w:rsid w:val="00706FDE"/>
    <w:rsid w:val="0070793E"/>
    <w:rsid w:val="007101CC"/>
    <w:rsid w:val="00712750"/>
    <w:rsid w:val="00713350"/>
    <w:rsid w:val="00715774"/>
    <w:rsid w:val="007168D4"/>
    <w:rsid w:val="00716ADB"/>
    <w:rsid w:val="00717759"/>
    <w:rsid w:val="00722874"/>
    <w:rsid w:val="00725BAF"/>
    <w:rsid w:val="0073092D"/>
    <w:rsid w:val="00730CE6"/>
    <w:rsid w:val="00730D7F"/>
    <w:rsid w:val="007327A2"/>
    <w:rsid w:val="00734529"/>
    <w:rsid w:val="007351F9"/>
    <w:rsid w:val="00737A30"/>
    <w:rsid w:val="00737C56"/>
    <w:rsid w:val="007407E4"/>
    <w:rsid w:val="00741B6E"/>
    <w:rsid w:val="00741E98"/>
    <w:rsid w:val="007448CE"/>
    <w:rsid w:val="00744A74"/>
    <w:rsid w:val="00750711"/>
    <w:rsid w:val="0075087A"/>
    <w:rsid w:val="00750EE6"/>
    <w:rsid w:val="007516B1"/>
    <w:rsid w:val="00756C01"/>
    <w:rsid w:val="007572BA"/>
    <w:rsid w:val="007576B4"/>
    <w:rsid w:val="00761941"/>
    <w:rsid w:val="00761B73"/>
    <w:rsid w:val="00762E6D"/>
    <w:rsid w:val="00765765"/>
    <w:rsid w:val="00765DF7"/>
    <w:rsid w:val="007660C6"/>
    <w:rsid w:val="007663F0"/>
    <w:rsid w:val="0076654A"/>
    <w:rsid w:val="007665CA"/>
    <w:rsid w:val="00766BC9"/>
    <w:rsid w:val="00770265"/>
    <w:rsid w:val="00770D41"/>
    <w:rsid w:val="00771D2F"/>
    <w:rsid w:val="00771DDB"/>
    <w:rsid w:val="00771FB8"/>
    <w:rsid w:val="00772331"/>
    <w:rsid w:val="007740AF"/>
    <w:rsid w:val="00775182"/>
    <w:rsid w:val="00775463"/>
    <w:rsid w:val="00776224"/>
    <w:rsid w:val="00781A44"/>
    <w:rsid w:val="00782434"/>
    <w:rsid w:val="00782C4A"/>
    <w:rsid w:val="00784B4C"/>
    <w:rsid w:val="0078718F"/>
    <w:rsid w:val="00794826"/>
    <w:rsid w:val="00797889"/>
    <w:rsid w:val="007A10DE"/>
    <w:rsid w:val="007A16B1"/>
    <w:rsid w:val="007A1D6B"/>
    <w:rsid w:val="007A1E2B"/>
    <w:rsid w:val="007A7A62"/>
    <w:rsid w:val="007A7CCC"/>
    <w:rsid w:val="007B0695"/>
    <w:rsid w:val="007B17E1"/>
    <w:rsid w:val="007B20BC"/>
    <w:rsid w:val="007B38D3"/>
    <w:rsid w:val="007B49F6"/>
    <w:rsid w:val="007B584E"/>
    <w:rsid w:val="007B5899"/>
    <w:rsid w:val="007B7831"/>
    <w:rsid w:val="007C192D"/>
    <w:rsid w:val="007C1C3C"/>
    <w:rsid w:val="007C2D2F"/>
    <w:rsid w:val="007C3EBC"/>
    <w:rsid w:val="007C57BD"/>
    <w:rsid w:val="007C628E"/>
    <w:rsid w:val="007D10C7"/>
    <w:rsid w:val="007D3558"/>
    <w:rsid w:val="007D381C"/>
    <w:rsid w:val="007D760C"/>
    <w:rsid w:val="007D78C7"/>
    <w:rsid w:val="007E01D8"/>
    <w:rsid w:val="007E049D"/>
    <w:rsid w:val="007E0FCE"/>
    <w:rsid w:val="007E194D"/>
    <w:rsid w:val="007E2B9D"/>
    <w:rsid w:val="007E2FE0"/>
    <w:rsid w:val="007E41AE"/>
    <w:rsid w:val="007E41BB"/>
    <w:rsid w:val="007E513A"/>
    <w:rsid w:val="007E59A9"/>
    <w:rsid w:val="007E62A5"/>
    <w:rsid w:val="007E726A"/>
    <w:rsid w:val="007F0493"/>
    <w:rsid w:val="007F0B40"/>
    <w:rsid w:val="007F0E34"/>
    <w:rsid w:val="007F120C"/>
    <w:rsid w:val="007F2CCB"/>
    <w:rsid w:val="007F393B"/>
    <w:rsid w:val="007F4CA5"/>
    <w:rsid w:val="007F5AC3"/>
    <w:rsid w:val="007F70D0"/>
    <w:rsid w:val="007F730B"/>
    <w:rsid w:val="007F7943"/>
    <w:rsid w:val="007F7BDC"/>
    <w:rsid w:val="008044EE"/>
    <w:rsid w:val="00804F0F"/>
    <w:rsid w:val="00805004"/>
    <w:rsid w:val="00805052"/>
    <w:rsid w:val="008057A2"/>
    <w:rsid w:val="008103CE"/>
    <w:rsid w:val="00810EE2"/>
    <w:rsid w:val="008111CE"/>
    <w:rsid w:val="00811493"/>
    <w:rsid w:val="00812C59"/>
    <w:rsid w:val="00813595"/>
    <w:rsid w:val="00814AFD"/>
    <w:rsid w:val="00814D96"/>
    <w:rsid w:val="0081622F"/>
    <w:rsid w:val="00816C73"/>
    <w:rsid w:val="00817046"/>
    <w:rsid w:val="00820B47"/>
    <w:rsid w:val="00821BCA"/>
    <w:rsid w:val="008226EA"/>
    <w:rsid w:val="00822C39"/>
    <w:rsid w:val="00822C48"/>
    <w:rsid w:val="00823019"/>
    <w:rsid w:val="00824D99"/>
    <w:rsid w:val="0082502B"/>
    <w:rsid w:val="00825B25"/>
    <w:rsid w:val="00826CFC"/>
    <w:rsid w:val="0083010D"/>
    <w:rsid w:val="00831F27"/>
    <w:rsid w:val="0083227F"/>
    <w:rsid w:val="00833398"/>
    <w:rsid w:val="008343A1"/>
    <w:rsid w:val="00834E5D"/>
    <w:rsid w:val="00835639"/>
    <w:rsid w:val="00836315"/>
    <w:rsid w:val="008365D7"/>
    <w:rsid w:val="00836A14"/>
    <w:rsid w:val="00836C1D"/>
    <w:rsid w:val="008440A1"/>
    <w:rsid w:val="00845587"/>
    <w:rsid w:val="00846498"/>
    <w:rsid w:val="008475B3"/>
    <w:rsid w:val="008515B7"/>
    <w:rsid w:val="00851F2E"/>
    <w:rsid w:val="00855ED8"/>
    <w:rsid w:val="00857EAB"/>
    <w:rsid w:val="0086013E"/>
    <w:rsid w:val="008606D6"/>
    <w:rsid w:val="00861396"/>
    <w:rsid w:val="00861DD3"/>
    <w:rsid w:val="008620E0"/>
    <w:rsid w:val="00862675"/>
    <w:rsid w:val="008628F0"/>
    <w:rsid w:val="008638A3"/>
    <w:rsid w:val="0086391C"/>
    <w:rsid w:val="00864023"/>
    <w:rsid w:val="008643FC"/>
    <w:rsid w:val="008667B8"/>
    <w:rsid w:val="00870883"/>
    <w:rsid w:val="008716ED"/>
    <w:rsid w:val="0087291D"/>
    <w:rsid w:val="0087496F"/>
    <w:rsid w:val="00874D9B"/>
    <w:rsid w:val="00876035"/>
    <w:rsid w:val="008763A5"/>
    <w:rsid w:val="00876EEB"/>
    <w:rsid w:val="00885511"/>
    <w:rsid w:val="008857B2"/>
    <w:rsid w:val="00885C5C"/>
    <w:rsid w:val="0088769E"/>
    <w:rsid w:val="00891565"/>
    <w:rsid w:val="008953E4"/>
    <w:rsid w:val="00896836"/>
    <w:rsid w:val="008A0BE9"/>
    <w:rsid w:val="008A179A"/>
    <w:rsid w:val="008A30A7"/>
    <w:rsid w:val="008A38CB"/>
    <w:rsid w:val="008A4B90"/>
    <w:rsid w:val="008A5E01"/>
    <w:rsid w:val="008A62F0"/>
    <w:rsid w:val="008A7C85"/>
    <w:rsid w:val="008B0315"/>
    <w:rsid w:val="008B0C2D"/>
    <w:rsid w:val="008B59DD"/>
    <w:rsid w:val="008B5B81"/>
    <w:rsid w:val="008B6365"/>
    <w:rsid w:val="008C0F63"/>
    <w:rsid w:val="008C24BA"/>
    <w:rsid w:val="008C3835"/>
    <w:rsid w:val="008C6283"/>
    <w:rsid w:val="008C6361"/>
    <w:rsid w:val="008C70C1"/>
    <w:rsid w:val="008C78A9"/>
    <w:rsid w:val="008D0014"/>
    <w:rsid w:val="008D026F"/>
    <w:rsid w:val="008D1157"/>
    <w:rsid w:val="008D21F5"/>
    <w:rsid w:val="008D3347"/>
    <w:rsid w:val="008D4EC2"/>
    <w:rsid w:val="008D629D"/>
    <w:rsid w:val="008E0AA7"/>
    <w:rsid w:val="008E0B14"/>
    <w:rsid w:val="008E0D6E"/>
    <w:rsid w:val="008E1FBD"/>
    <w:rsid w:val="008E2099"/>
    <w:rsid w:val="008E211E"/>
    <w:rsid w:val="008E394D"/>
    <w:rsid w:val="008E3A84"/>
    <w:rsid w:val="008E706C"/>
    <w:rsid w:val="008E7374"/>
    <w:rsid w:val="008F0A77"/>
    <w:rsid w:val="008F1416"/>
    <w:rsid w:val="008F18D7"/>
    <w:rsid w:val="008F1A03"/>
    <w:rsid w:val="008F2F3E"/>
    <w:rsid w:val="008F5D5D"/>
    <w:rsid w:val="008F77CB"/>
    <w:rsid w:val="008F7CF5"/>
    <w:rsid w:val="009010E0"/>
    <w:rsid w:val="00901720"/>
    <w:rsid w:val="00902A2B"/>
    <w:rsid w:val="00903428"/>
    <w:rsid w:val="00904040"/>
    <w:rsid w:val="0090435B"/>
    <w:rsid w:val="00904485"/>
    <w:rsid w:val="00904D4D"/>
    <w:rsid w:val="00907ADB"/>
    <w:rsid w:val="00907D3F"/>
    <w:rsid w:val="00910DE3"/>
    <w:rsid w:val="009110D6"/>
    <w:rsid w:val="009116C7"/>
    <w:rsid w:val="00911C13"/>
    <w:rsid w:val="00912B6A"/>
    <w:rsid w:val="00913A2D"/>
    <w:rsid w:val="009145E9"/>
    <w:rsid w:val="00914EC9"/>
    <w:rsid w:val="00915E04"/>
    <w:rsid w:val="0091779F"/>
    <w:rsid w:val="00917D58"/>
    <w:rsid w:val="00921036"/>
    <w:rsid w:val="009219C8"/>
    <w:rsid w:val="009244A7"/>
    <w:rsid w:val="009245B4"/>
    <w:rsid w:val="00924D6A"/>
    <w:rsid w:val="00925D64"/>
    <w:rsid w:val="009277AA"/>
    <w:rsid w:val="00927F06"/>
    <w:rsid w:val="0093201D"/>
    <w:rsid w:val="00932BFC"/>
    <w:rsid w:val="00935BD2"/>
    <w:rsid w:val="009412A1"/>
    <w:rsid w:val="009425AC"/>
    <w:rsid w:val="0094288A"/>
    <w:rsid w:val="00942EA8"/>
    <w:rsid w:val="0094507A"/>
    <w:rsid w:val="0094583F"/>
    <w:rsid w:val="0094599F"/>
    <w:rsid w:val="00947526"/>
    <w:rsid w:val="00947F46"/>
    <w:rsid w:val="00950F6B"/>
    <w:rsid w:val="0095298E"/>
    <w:rsid w:val="0095327C"/>
    <w:rsid w:val="00953321"/>
    <w:rsid w:val="00953982"/>
    <w:rsid w:val="00954066"/>
    <w:rsid w:val="0095436D"/>
    <w:rsid w:val="00954B3B"/>
    <w:rsid w:val="00957076"/>
    <w:rsid w:val="009603F2"/>
    <w:rsid w:val="00961FEE"/>
    <w:rsid w:val="00962B0F"/>
    <w:rsid w:val="00963845"/>
    <w:rsid w:val="00964258"/>
    <w:rsid w:val="00965EF7"/>
    <w:rsid w:val="00966CE7"/>
    <w:rsid w:val="00966DFB"/>
    <w:rsid w:val="009700E3"/>
    <w:rsid w:val="0097337B"/>
    <w:rsid w:val="0097460A"/>
    <w:rsid w:val="00975572"/>
    <w:rsid w:val="0097720A"/>
    <w:rsid w:val="009801DF"/>
    <w:rsid w:val="00980538"/>
    <w:rsid w:val="009817DC"/>
    <w:rsid w:val="009832E2"/>
    <w:rsid w:val="009835CE"/>
    <w:rsid w:val="009842D5"/>
    <w:rsid w:val="009863FE"/>
    <w:rsid w:val="009916DF"/>
    <w:rsid w:val="0099188C"/>
    <w:rsid w:val="00991ECC"/>
    <w:rsid w:val="009926D0"/>
    <w:rsid w:val="00993EB6"/>
    <w:rsid w:val="009977A6"/>
    <w:rsid w:val="009A143F"/>
    <w:rsid w:val="009A15CF"/>
    <w:rsid w:val="009A239D"/>
    <w:rsid w:val="009A4985"/>
    <w:rsid w:val="009A49CA"/>
    <w:rsid w:val="009A4A96"/>
    <w:rsid w:val="009A6A75"/>
    <w:rsid w:val="009A764B"/>
    <w:rsid w:val="009B0BDB"/>
    <w:rsid w:val="009B223D"/>
    <w:rsid w:val="009B3A65"/>
    <w:rsid w:val="009B4021"/>
    <w:rsid w:val="009B42CE"/>
    <w:rsid w:val="009B775B"/>
    <w:rsid w:val="009C1321"/>
    <w:rsid w:val="009C3094"/>
    <w:rsid w:val="009C6D27"/>
    <w:rsid w:val="009C6F20"/>
    <w:rsid w:val="009D0097"/>
    <w:rsid w:val="009D22B6"/>
    <w:rsid w:val="009D24C0"/>
    <w:rsid w:val="009D2DB5"/>
    <w:rsid w:val="009D3E56"/>
    <w:rsid w:val="009D453A"/>
    <w:rsid w:val="009E0E1B"/>
    <w:rsid w:val="009E2096"/>
    <w:rsid w:val="009E36A6"/>
    <w:rsid w:val="009E3CB0"/>
    <w:rsid w:val="009E42EE"/>
    <w:rsid w:val="009E4D89"/>
    <w:rsid w:val="009E527C"/>
    <w:rsid w:val="009E57C5"/>
    <w:rsid w:val="009E6620"/>
    <w:rsid w:val="009E68FD"/>
    <w:rsid w:val="009E6CB8"/>
    <w:rsid w:val="009E7103"/>
    <w:rsid w:val="009F1370"/>
    <w:rsid w:val="009F1C87"/>
    <w:rsid w:val="009F37D9"/>
    <w:rsid w:val="009F3B1D"/>
    <w:rsid w:val="009F3CDC"/>
    <w:rsid w:val="009F685C"/>
    <w:rsid w:val="009F7254"/>
    <w:rsid w:val="00A00BB3"/>
    <w:rsid w:val="00A03139"/>
    <w:rsid w:val="00A03C21"/>
    <w:rsid w:val="00A0478C"/>
    <w:rsid w:val="00A058F5"/>
    <w:rsid w:val="00A05A25"/>
    <w:rsid w:val="00A05C6D"/>
    <w:rsid w:val="00A0666C"/>
    <w:rsid w:val="00A0695A"/>
    <w:rsid w:val="00A071C1"/>
    <w:rsid w:val="00A1237F"/>
    <w:rsid w:val="00A12F82"/>
    <w:rsid w:val="00A13CD5"/>
    <w:rsid w:val="00A14F4A"/>
    <w:rsid w:val="00A14FC6"/>
    <w:rsid w:val="00A16D42"/>
    <w:rsid w:val="00A2071B"/>
    <w:rsid w:val="00A21752"/>
    <w:rsid w:val="00A230AD"/>
    <w:rsid w:val="00A25448"/>
    <w:rsid w:val="00A26958"/>
    <w:rsid w:val="00A26DB0"/>
    <w:rsid w:val="00A2704A"/>
    <w:rsid w:val="00A27203"/>
    <w:rsid w:val="00A27646"/>
    <w:rsid w:val="00A27C26"/>
    <w:rsid w:val="00A30401"/>
    <w:rsid w:val="00A3197D"/>
    <w:rsid w:val="00A32F7C"/>
    <w:rsid w:val="00A33C9A"/>
    <w:rsid w:val="00A3421B"/>
    <w:rsid w:val="00A3555E"/>
    <w:rsid w:val="00A3607F"/>
    <w:rsid w:val="00A364C4"/>
    <w:rsid w:val="00A4092B"/>
    <w:rsid w:val="00A40B86"/>
    <w:rsid w:val="00A41B9C"/>
    <w:rsid w:val="00A45F6C"/>
    <w:rsid w:val="00A4644E"/>
    <w:rsid w:val="00A474D3"/>
    <w:rsid w:val="00A504D8"/>
    <w:rsid w:val="00A51099"/>
    <w:rsid w:val="00A51581"/>
    <w:rsid w:val="00A515ED"/>
    <w:rsid w:val="00A52726"/>
    <w:rsid w:val="00A52F4A"/>
    <w:rsid w:val="00A543C2"/>
    <w:rsid w:val="00A548B7"/>
    <w:rsid w:val="00A55418"/>
    <w:rsid w:val="00A56421"/>
    <w:rsid w:val="00A62779"/>
    <w:rsid w:val="00A62D55"/>
    <w:rsid w:val="00A63369"/>
    <w:rsid w:val="00A6373A"/>
    <w:rsid w:val="00A6390E"/>
    <w:rsid w:val="00A64C16"/>
    <w:rsid w:val="00A64EA9"/>
    <w:rsid w:val="00A70A15"/>
    <w:rsid w:val="00A70B84"/>
    <w:rsid w:val="00A71315"/>
    <w:rsid w:val="00A72131"/>
    <w:rsid w:val="00A723CE"/>
    <w:rsid w:val="00A72C61"/>
    <w:rsid w:val="00A73C5F"/>
    <w:rsid w:val="00A76847"/>
    <w:rsid w:val="00A800E8"/>
    <w:rsid w:val="00A8076F"/>
    <w:rsid w:val="00A808BF"/>
    <w:rsid w:val="00A81DC8"/>
    <w:rsid w:val="00A83796"/>
    <w:rsid w:val="00A855E8"/>
    <w:rsid w:val="00A87CE7"/>
    <w:rsid w:val="00A9131C"/>
    <w:rsid w:val="00A91353"/>
    <w:rsid w:val="00A9147F"/>
    <w:rsid w:val="00A915D7"/>
    <w:rsid w:val="00A918C4"/>
    <w:rsid w:val="00A93E57"/>
    <w:rsid w:val="00A94620"/>
    <w:rsid w:val="00A953B4"/>
    <w:rsid w:val="00A95EB9"/>
    <w:rsid w:val="00A96A2E"/>
    <w:rsid w:val="00AA0C3C"/>
    <w:rsid w:val="00AA16EC"/>
    <w:rsid w:val="00AA2CE3"/>
    <w:rsid w:val="00AA2F9F"/>
    <w:rsid w:val="00AA34F6"/>
    <w:rsid w:val="00AA3552"/>
    <w:rsid w:val="00AA47F8"/>
    <w:rsid w:val="00AA5C09"/>
    <w:rsid w:val="00AA7978"/>
    <w:rsid w:val="00AB0B2C"/>
    <w:rsid w:val="00AB0FA1"/>
    <w:rsid w:val="00AB167B"/>
    <w:rsid w:val="00AB2178"/>
    <w:rsid w:val="00AB2B9A"/>
    <w:rsid w:val="00AB3C43"/>
    <w:rsid w:val="00AB3EF0"/>
    <w:rsid w:val="00AB3FEA"/>
    <w:rsid w:val="00AB47F2"/>
    <w:rsid w:val="00AB4ACD"/>
    <w:rsid w:val="00AB769D"/>
    <w:rsid w:val="00AC0407"/>
    <w:rsid w:val="00AC20CC"/>
    <w:rsid w:val="00AC24F9"/>
    <w:rsid w:val="00AC373F"/>
    <w:rsid w:val="00AC48CF"/>
    <w:rsid w:val="00AC54F9"/>
    <w:rsid w:val="00AC5557"/>
    <w:rsid w:val="00AC583B"/>
    <w:rsid w:val="00AC5E15"/>
    <w:rsid w:val="00AC792F"/>
    <w:rsid w:val="00AC7D44"/>
    <w:rsid w:val="00AD07B7"/>
    <w:rsid w:val="00AD0EC3"/>
    <w:rsid w:val="00AD1DDF"/>
    <w:rsid w:val="00AD2765"/>
    <w:rsid w:val="00AD2E51"/>
    <w:rsid w:val="00AD3CBC"/>
    <w:rsid w:val="00AD42D9"/>
    <w:rsid w:val="00AD561F"/>
    <w:rsid w:val="00AD62DC"/>
    <w:rsid w:val="00AD6DD4"/>
    <w:rsid w:val="00AD76E5"/>
    <w:rsid w:val="00AE060B"/>
    <w:rsid w:val="00AE0DDF"/>
    <w:rsid w:val="00AE631F"/>
    <w:rsid w:val="00AE7058"/>
    <w:rsid w:val="00AE75EB"/>
    <w:rsid w:val="00AE7F28"/>
    <w:rsid w:val="00AF0398"/>
    <w:rsid w:val="00AF07D2"/>
    <w:rsid w:val="00AF10C0"/>
    <w:rsid w:val="00AF3109"/>
    <w:rsid w:val="00AF5502"/>
    <w:rsid w:val="00AF65B8"/>
    <w:rsid w:val="00B01003"/>
    <w:rsid w:val="00B010F2"/>
    <w:rsid w:val="00B02B5F"/>
    <w:rsid w:val="00B03E51"/>
    <w:rsid w:val="00B054B1"/>
    <w:rsid w:val="00B05E49"/>
    <w:rsid w:val="00B061C0"/>
    <w:rsid w:val="00B112E5"/>
    <w:rsid w:val="00B120DD"/>
    <w:rsid w:val="00B12720"/>
    <w:rsid w:val="00B13F9C"/>
    <w:rsid w:val="00B16A2D"/>
    <w:rsid w:val="00B17158"/>
    <w:rsid w:val="00B171AC"/>
    <w:rsid w:val="00B207A9"/>
    <w:rsid w:val="00B22550"/>
    <w:rsid w:val="00B242E3"/>
    <w:rsid w:val="00B2448A"/>
    <w:rsid w:val="00B266E5"/>
    <w:rsid w:val="00B27647"/>
    <w:rsid w:val="00B27AFA"/>
    <w:rsid w:val="00B30023"/>
    <w:rsid w:val="00B308EE"/>
    <w:rsid w:val="00B31FB0"/>
    <w:rsid w:val="00B324F8"/>
    <w:rsid w:val="00B32E66"/>
    <w:rsid w:val="00B338DD"/>
    <w:rsid w:val="00B33FB2"/>
    <w:rsid w:val="00B3554D"/>
    <w:rsid w:val="00B35A6A"/>
    <w:rsid w:val="00B372C4"/>
    <w:rsid w:val="00B3754C"/>
    <w:rsid w:val="00B41A57"/>
    <w:rsid w:val="00B424A9"/>
    <w:rsid w:val="00B42B2B"/>
    <w:rsid w:val="00B44236"/>
    <w:rsid w:val="00B44480"/>
    <w:rsid w:val="00B44499"/>
    <w:rsid w:val="00B44FAC"/>
    <w:rsid w:val="00B4614A"/>
    <w:rsid w:val="00B50658"/>
    <w:rsid w:val="00B509C6"/>
    <w:rsid w:val="00B50C35"/>
    <w:rsid w:val="00B515F8"/>
    <w:rsid w:val="00B5306E"/>
    <w:rsid w:val="00B55357"/>
    <w:rsid w:val="00B60125"/>
    <w:rsid w:val="00B618BB"/>
    <w:rsid w:val="00B6198D"/>
    <w:rsid w:val="00B62A0F"/>
    <w:rsid w:val="00B63251"/>
    <w:rsid w:val="00B64276"/>
    <w:rsid w:val="00B64E35"/>
    <w:rsid w:val="00B6671E"/>
    <w:rsid w:val="00B66C83"/>
    <w:rsid w:val="00B67929"/>
    <w:rsid w:val="00B679C1"/>
    <w:rsid w:val="00B67A93"/>
    <w:rsid w:val="00B700B2"/>
    <w:rsid w:val="00B74B62"/>
    <w:rsid w:val="00B74D16"/>
    <w:rsid w:val="00B75968"/>
    <w:rsid w:val="00B76644"/>
    <w:rsid w:val="00B7664C"/>
    <w:rsid w:val="00B76768"/>
    <w:rsid w:val="00B77576"/>
    <w:rsid w:val="00B809BC"/>
    <w:rsid w:val="00B81CF0"/>
    <w:rsid w:val="00B84A87"/>
    <w:rsid w:val="00B859CB"/>
    <w:rsid w:val="00B85E9C"/>
    <w:rsid w:val="00B962F6"/>
    <w:rsid w:val="00B97432"/>
    <w:rsid w:val="00BA385A"/>
    <w:rsid w:val="00BA4527"/>
    <w:rsid w:val="00BA45CC"/>
    <w:rsid w:val="00BA46BC"/>
    <w:rsid w:val="00BA586F"/>
    <w:rsid w:val="00BB27D4"/>
    <w:rsid w:val="00BB2B3C"/>
    <w:rsid w:val="00BB2BD7"/>
    <w:rsid w:val="00BB3561"/>
    <w:rsid w:val="00BB3D02"/>
    <w:rsid w:val="00BB5232"/>
    <w:rsid w:val="00BC06CC"/>
    <w:rsid w:val="00BC0FC9"/>
    <w:rsid w:val="00BC127B"/>
    <w:rsid w:val="00BC16BF"/>
    <w:rsid w:val="00BC1FC4"/>
    <w:rsid w:val="00BC4331"/>
    <w:rsid w:val="00BC4C18"/>
    <w:rsid w:val="00BC55CF"/>
    <w:rsid w:val="00BD014A"/>
    <w:rsid w:val="00BD05C6"/>
    <w:rsid w:val="00BD061F"/>
    <w:rsid w:val="00BD150C"/>
    <w:rsid w:val="00BD31B4"/>
    <w:rsid w:val="00BD41C0"/>
    <w:rsid w:val="00BD43C8"/>
    <w:rsid w:val="00BD4B71"/>
    <w:rsid w:val="00BD517D"/>
    <w:rsid w:val="00BD7786"/>
    <w:rsid w:val="00BE0D15"/>
    <w:rsid w:val="00BE2516"/>
    <w:rsid w:val="00BE2557"/>
    <w:rsid w:val="00BE295F"/>
    <w:rsid w:val="00BE2A3C"/>
    <w:rsid w:val="00BE2C6A"/>
    <w:rsid w:val="00BE3020"/>
    <w:rsid w:val="00BE4C47"/>
    <w:rsid w:val="00BE664B"/>
    <w:rsid w:val="00BE7B85"/>
    <w:rsid w:val="00BF1991"/>
    <w:rsid w:val="00BF3BAE"/>
    <w:rsid w:val="00BF43AB"/>
    <w:rsid w:val="00BF4B7D"/>
    <w:rsid w:val="00BF5010"/>
    <w:rsid w:val="00BF52FB"/>
    <w:rsid w:val="00BF5B73"/>
    <w:rsid w:val="00BF7BB1"/>
    <w:rsid w:val="00C03A9F"/>
    <w:rsid w:val="00C03F69"/>
    <w:rsid w:val="00C04955"/>
    <w:rsid w:val="00C05B5B"/>
    <w:rsid w:val="00C06E4E"/>
    <w:rsid w:val="00C10D80"/>
    <w:rsid w:val="00C11FCC"/>
    <w:rsid w:val="00C16545"/>
    <w:rsid w:val="00C22242"/>
    <w:rsid w:val="00C22E01"/>
    <w:rsid w:val="00C22EBB"/>
    <w:rsid w:val="00C23E6B"/>
    <w:rsid w:val="00C24CCC"/>
    <w:rsid w:val="00C254BF"/>
    <w:rsid w:val="00C25807"/>
    <w:rsid w:val="00C26B06"/>
    <w:rsid w:val="00C30289"/>
    <w:rsid w:val="00C30A03"/>
    <w:rsid w:val="00C32B9A"/>
    <w:rsid w:val="00C33C9C"/>
    <w:rsid w:val="00C34540"/>
    <w:rsid w:val="00C37D6D"/>
    <w:rsid w:val="00C37E33"/>
    <w:rsid w:val="00C401A3"/>
    <w:rsid w:val="00C401E7"/>
    <w:rsid w:val="00C4063E"/>
    <w:rsid w:val="00C41498"/>
    <w:rsid w:val="00C42439"/>
    <w:rsid w:val="00C42A88"/>
    <w:rsid w:val="00C43259"/>
    <w:rsid w:val="00C43F3D"/>
    <w:rsid w:val="00C45821"/>
    <w:rsid w:val="00C479B2"/>
    <w:rsid w:val="00C47DC3"/>
    <w:rsid w:val="00C503AA"/>
    <w:rsid w:val="00C50718"/>
    <w:rsid w:val="00C510E8"/>
    <w:rsid w:val="00C52608"/>
    <w:rsid w:val="00C529AE"/>
    <w:rsid w:val="00C544B8"/>
    <w:rsid w:val="00C54A80"/>
    <w:rsid w:val="00C568B2"/>
    <w:rsid w:val="00C61A91"/>
    <w:rsid w:val="00C61AF8"/>
    <w:rsid w:val="00C62D44"/>
    <w:rsid w:val="00C6633F"/>
    <w:rsid w:val="00C66631"/>
    <w:rsid w:val="00C70317"/>
    <w:rsid w:val="00C70DD6"/>
    <w:rsid w:val="00C7159E"/>
    <w:rsid w:val="00C71BFD"/>
    <w:rsid w:val="00C74D88"/>
    <w:rsid w:val="00C75007"/>
    <w:rsid w:val="00C75433"/>
    <w:rsid w:val="00C7567D"/>
    <w:rsid w:val="00C76C2D"/>
    <w:rsid w:val="00C77890"/>
    <w:rsid w:val="00C77CC4"/>
    <w:rsid w:val="00C80052"/>
    <w:rsid w:val="00C810A3"/>
    <w:rsid w:val="00C81C1B"/>
    <w:rsid w:val="00C8266B"/>
    <w:rsid w:val="00C84A7D"/>
    <w:rsid w:val="00C84FC2"/>
    <w:rsid w:val="00C851DE"/>
    <w:rsid w:val="00C85A64"/>
    <w:rsid w:val="00C8620A"/>
    <w:rsid w:val="00C86B77"/>
    <w:rsid w:val="00C86D30"/>
    <w:rsid w:val="00C873DA"/>
    <w:rsid w:val="00C9020B"/>
    <w:rsid w:val="00C912B4"/>
    <w:rsid w:val="00C91CA0"/>
    <w:rsid w:val="00C91FD9"/>
    <w:rsid w:val="00C9216C"/>
    <w:rsid w:val="00C93766"/>
    <w:rsid w:val="00C93FD6"/>
    <w:rsid w:val="00C9463E"/>
    <w:rsid w:val="00C94DF6"/>
    <w:rsid w:val="00C9722A"/>
    <w:rsid w:val="00C974CC"/>
    <w:rsid w:val="00C97E3E"/>
    <w:rsid w:val="00CA06E2"/>
    <w:rsid w:val="00CA0E64"/>
    <w:rsid w:val="00CA3FDE"/>
    <w:rsid w:val="00CA5E3B"/>
    <w:rsid w:val="00CA5F40"/>
    <w:rsid w:val="00CB058B"/>
    <w:rsid w:val="00CB12B6"/>
    <w:rsid w:val="00CB1A11"/>
    <w:rsid w:val="00CB2142"/>
    <w:rsid w:val="00CB2930"/>
    <w:rsid w:val="00CB30C2"/>
    <w:rsid w:val="00CB4159"/>
    <w:rsid w:val="00CB56F4"/>
    <w:rsid w:val="00CB620B"/>
    <w:rsid w:val="00CB6E94"/>
    <w:rsid w:val="00CB6F3E"/>
    <w:rsid w:val="00CC0959"/>
    <w:rsid w:val="00CC142B"/>
    <w:rsid w:val="00CC1F28"/>
    <w:rsid w:val="00CC2CD2"/>
    <w:rsid w:val="00CC4602"/>
    <w:rsid w:val="00CC48C1"/>
    <w:rsid w:val="00CC6BED"/>
    <w:rsid w:val="00CC7116"/>
    <w:rsid w:val="00CC787A"/>
    <w:rsid w:val="00CC7C59"/>
    <w:rsid w:val="00CD12D3"/>
    <w:rsid w:val="00CD3039"/>
    <w:rsid w:val="00CD5475"/>
    <w:rsid w:val="00CD5835"/>
    <w:rsid w:val="00CD5DC0"/>
    <w:rsid w:val="00CD7879"/>
    <w:rsid w:val="00CD7928"/>
    <w:rsid w:val="00CE0F40"/>
    <w:rsid w:val="00CE112E"/>
    <w:rsid w:val="00CE1891"/>
    <w:rsid w:val="00CE1ACB"/>
    <w:rsid w:val="00CE1CCB"/>
    <w:rsid w:val="00CE479C"/>
    <w:rsid w:val="00CE4CDA"/>
    <w:rsid w:val="00CE4FB3"/>
    <w:rsid w:val="00CE567C"/>
    <w:rsid w:val="00CE5906"/>
    <w:rsid w:val="00CE64BF"/>
    <w:rsid w:val="00CE7587"/>
    <w:rsid w:val="00CE7B9E"/>
    <w:rsid w:val="00CE7EC7"/>
    <w:rsid w:val="00CF0C4E"/>
    <w:rsid w:val="00CF0D43"/>
    <w:rsid w:val="00CF252F"/>
    <w:rsid w:val="00CF25D0"/>
    <w:rsid w:val="00CF28D6"/>
    <w:rsid w:val="00CF5F35"/>
    <w:rsid w:val="00D0103A"/>
    <w:rsid w:val="00D0172D"/>
    <w:rsid w:val="00D02802"/>
    <w:rsid w:val="00D03B78"/>
    <w:rsid w:val="00D03E07"/>
    <w:rsid w:val="00D05C51"/>
    <w:rsid w:val="00D1046B"/>
    <w:rsid w:val="00D1136E"/>
    <w:rsid w:val="00D12590"/>
    <w:rsid w:val="00D1280F"/>
    <w:rsid w:val="00D1293B"/>
    <w:rsid w:val="00D129FD"/>
    <w:rsid w:val="00D146AB"/>
    <w:rsid w:val="00D14906"/>
    <w:rsid w:val="00D15CC8"/>
    <w:rsid w:val="00D17A70"/>
    <w:rsid w:val="00D20A75"/>
    <w:rsid w:val="00D20FEA"/>
    <w:rsid w:val="00D23879"/>
    <w:rsid w:val="00D23ADE"/>
    <w:rsid w:val="00D24A83"/>
    <w:rsid w:val="00D24C0D"/>
    <w:rsid w:val="00D269E9"/>
    <w:rsid w:val="00D274B1"/>
    <w:rsid w:val="00D3142D"/>
    <w:rsid w:val="00D32393"/>
    <w:rsid w:val="00D32566"/>
    <w:rsid w:val="00D34C40"/>
    <w:rsid w:val="00D35D67"/>
    <w:rsid w:val="00D3626C"/>
    <w:rsid w:val="00D3649A"/>
    <w:rsid w:val="00D407A6"/>
    <w:rsid w:val="00D40A89"/>
    <w:rsid w:val="00D40AE5"/>
    <w:rsid w:val="00D410C6"/>
    <w:rsid w:val="00D41416"/>
    <w:rsid w:val="00D423DA"/>
    <w:rsid w:val="00D4371E"/>
    <w:rsid w:val="00D43800"/>
    <w:rsid w:val="00D45778"/>
    <w:rsid w:val="00D45F7E"/>
    <w:rsid w:val="00D46398"/>
    <w:rsid w:val="00D46556"/>
    <w:rsid w:val="00D46588"/>
    <w:rsid w:val="00D47470"/>
    <w:rsid w:val="00D51E6D"/>
    <w:rsid w:val="00D5243A"/>
    <w:rsid w:val="00D525FC"/>
    <w:rsid w:val="00D53873"/>
    <w:rsid w:val="00D53D6E"/>
    <w:rsid w:val="00D543E3"/>
    <w:rsid w:val="00D574ED"/>
    <w:rsid w:val="00D60CC9"/>
    <w:rsid w:val="00D66068"/>
    <w:rsid w:val="00D70194"/>
    <w:rsid w:val="00D7066B"/>
    <w:rsid w:val="00D71338"/>
    <w:rsid w:val="00D71AAD"/>
    <w:rsid w:val="00D72A91"/>
    <w:rsid w:val="00D72E28"/>
    <w:rsid w:val="00D74F4D"/>
    <w:rsid w:val="00D771F9"/>
    <w:rsid w:val="00D804CA"/>
    <w:rsid w:val="00D80868"/>
    <w:rsid w:val="00D81702"/>
    <w:rsid w:val="00D82991"/>
    <w:rsid w:val="00D82D95"/>
    <w:rsid w:val="00D83748"/>
    <w:rsid w:val="00D855EC"/>
    <w:rsid w:val="00D85939"/>
    <w:rsid w:val="00D8786F"/>
    <w:rsid w:val="00D9033C"/>
    <w:rsid w:val="00D90A78"/>
    <w:rsid w:val="00D911E6"/>
    <w:rsid w:val="00D91F84"/>
    <w:rsid w:val="00D9313D"/>
    <w:rsid w:val="00D93631"/>
    <w:rsid w:val="00D93943"/>
    <w:rsid w:val="00D93AC4"/>
    <w:rsid w:val="00D95642"/>
    <w:rsid w:val="00D96542"/>
    <w:rsid w:val="00D96D0E"/>
    <w:rsid w:val="00D97187"/>
    <w:rsid w:val="00D9776B"/>
    <w:rsid w:val="00D979C2"/>
    <w:rsid w:val="00D97BAD"/>
    <w:rsid w:val="00DA1C9E"/>
    <w:rsid w:val="00DA392E"/>
    <w:rsid w:val="00DA44B9"/>
    <w:rsid w:val="00DA47A0"/>
    <w:rsid w:val="00DB0B24"/>
    <w:rsid w:val="00DB2D64"/>
    <w:rsid w:val="00DB4857"/>
    <w:rsid w:val="00DB4AA7"/>
    <w:rsid w:val="00DB5409"/>
    <w:rsid w:val="00DB630C"/>
    <w:rsid w:val="00DB7958"/>
    <w:rsid w:val="00DB79BC"/>
    <w:rsid w:val="00DC0A9C"/>
    <w:rsid w:val="00DC1346"/>
    <w:rsid w:val="00DC168B"/>
    <w:rsid w:val="00DC1B44"/>
    <w:rsid w:val="00DC40CE"/>
    <w:rsid w:val="00DC4387"/>
    <w:rsid w:val="00DC5237"/>
    <w:rsid w:val="00DC6ACE"/>
    <w:rsid w:val="00DD19C2"/>
    <w:rsid w:val="00DD1B6E"/>
    <w:rsid w:val="00DD1EC7"/>
    <w:rsid w:val="00DD247C"/>
    <w:rsid w:val="00DD3598"/>
    <w:rsid w:val="00DD39DF"/>
    <w:rsid w:val="00DD3A66"/>
    <w:rsid w:val="00DD408A"/>
    <w:rsid w:val="00DD50CC"/>
    <w:rsid w:val="00DD6694"/>
    <w:rsid w:val="00DD7A59"/>
    <w:rsid w:val="00DE075C"/>
    <w:rsid w:val="00DE31EC"/>
    <w:rsid w:val="00DE3453"/>
    <w:rsid w:val="00DE3B38"/>
    <w:rsid w:val="00DE46D5"/>
    <w:rsid w:val="00DE5E3F"/>
    <w:rsid w:val="00DE76BD"/>
    <w:rsid w:val="00DF08B3"/>
    <w:rsid w:val="00DF42AC"/>
    <w:rsid w:val="00DF47A0"/>
    <w:rsid w:val="00DF5E10"/>
    <w:rsid w:val="00DF682A"/>
    <w:rsid w:val="00DF6B4D"/>
    <w:rsid w:val="00E027D1"/>
    <w:rsid w:val="00E033AE"/>
    <w:rsid w:val="00E04351"/>
    <w:rsid w:val="00E04E55"/>
    <w:rsid w:val="00E061D8"/>
    <w:rsid w:val="00E06A7A"/>
    <w:rsid w:val="00E07EEC"/>
    <w:rsid w:val="00E1011A"/>
    <w:rsid w:val="00E104B9"/>
    <w:rsid w:val="00E1302F"/>
    <w:rsid w:val="00E15535"/>
    <w:rsid w:val="00E15790"/>
    <w:rsid w:val="00E16380"/>
    <w:rsid w:val="00E16499"/>
    <w:rsid w:val="00E16A4B"/>
    <w:rsid w:val="00E200B8"/>
    <w:rsid w:val="00E203D4"/>
    <w:rsid w:val="00E21B95"/>
    <w:rsid w:val="00E220C5"/>
    <w:rsid w:val="00E22CCF"/>
    <w:rsid w:val="00E23163"/>
    <w:rsid w:val="00E23442"/>
    <w:rsid w:val="00E24565"/>
    <w:rsid w:val="00E266C3"/>
    <w:rsid w:val="00E27482"/>
    <w:rsid w:val="00E27F9F"/>
    <w:rsid w:val="00E3082E"/>
    <w:rsid w:val="00E3296B"/>
    <w:rsid w:val="00E32FC9"/>
    <w:rsid w:val="00E33915"/>
    <w:rsid w:val="00E33E2C"/>
    <w:rsid w:val="00E34C92"/>
    <w:rsid w:val="00E35A57"/>
    <w:rsid w:val="00E35D21"/>
    <w:rsid w:val="00E35FEB"/>
    <w:rsid w:val="00E36967"/>
    <w:rsid w:val="00E37EC2"/>
    <w:rsid w:val="00E40047"/>
    <w:rsid w:val="00E405E4"/>
    <w:rsid w:val="00E40F28"/>
    <w:rsid w:val="00E41248"/>
    <w:rsid w:val="00E4268E"/>
    <w:rsid w:val="00E45168"/>
    <w:rsid w:val="00E458B5"/>
    <w:rsid w:val="00E539B4"/>
    <w:rsid w:val="00E542A8"/>
    <w:rsid w:val="00E5614C"/>
    <w:rsid w:val="00E62A9E"/>
    <w:rsid w:val="00E62D69"/>
    <w:rsid w:val="00E62F7B"/>
    <w:rsid w:val="00E630E1"/>
    <w:rsid w:val="00E638EA"/>
    <w:rsid w:val="00E65536"/>
    <w:rsid w:val="00E6664B"/>
    <w:rsid w:val="00E7073B"/>
    <w:rsid w:val="00E7074B"/>
    <w:rsid w:val="00E7139E"/>
    <w:rsid w:val="00E71ACE"/>
    <w:rsid w:val="00E725A9"/>
    <w:rsid w:val="00E73CC9"/>
    <w:rsid w:val="00E73D84"/>
    <w:rsid w:val="00E74BBF"/>
    <w:rsid w:val="00E759FB"/>
    <w:rsid w:val="00E75F55"/>
    <w:rsid w:val="00E77A32"/>
    <w:rsid w:val="00E81189"/>
    <w:rsid w:val="00E81542"/>
    <w:rsid w:val="00E81DB8"/>
    <w:rsid w:val="00E82361"/>
    <w:rsid w:val="00E82881"/>
    <w:rsid w:val="00E83A06"/>
    <w:rsid w:val="00E8569A"/>
    <w:rsid w:val="00E85F51"/>
    <w:rsid w:val="00E86FF9"/>
    <w:rsid w:val="00E875AD"/>
    <w:rsid w:val="00E90369"/>
    <w:rsid w:val="00E916FB"/>
    <w:rsid w:val="00E917E1"/>
    <w:rsid w:val="00E9473D"/>
    <w:rsid w:val="00E94918"/>
    <w:rsid w:val="00E95C1D"/>
    <w:rsid w:val="00E96C79"/>
    <w:rsid w:val="00E96FD4"/>
    <w:rsid w:val="00E97081"/>
    <w:rsid w:val="00E9781E"/>
    <w:rsid w:val="00EA061F"/>
    <w:rsid w:val="00EA2D97"/>
    <w:rsid w:val="00EA6A2E"/>
    <w:rsid w:val="00EA7080"/>
    <w:rsid w:val="00EA72BB"/>
    <w:rsid w:val="00EB0312"/>
    <w:rsid w:val="00EB04D7"/>
    <w:rsid w:val="00EB2ADA"/>
    <w:rsid w:val="00EB3FEF"/>
    <w:rsid w:val="00EB4A83"/>
    <w:rsid w:val="00EB70B8"/>
    <w:rsid w:val="00EC0233"/>
    <w:rsid w:val="00EC1380"/>
    <w:rsid w:val="00EC1405"/>
    <w:rsid w:val="00EC3101"/>
    <w:rsid w:val="00EC49C4"/>
    <w:rsid w:val="00EC5BDC"/>
    <w:rsid w:val="00EC6D6F"/>
    <w:rsid w:val="00EC7520"/>
    <w:rsid w:val="00EC76D9"/>
    <w:rsid w:val="00EC7C0B"/>
    <w:rsid w:val="00ED3454"/>
    <w:rsid w:val="00ED3933"/>
    <w:rsid w:val="00ED4592"/>
    <w:rsid w:val="00ED6C22"/>
    <w:rsid w:val="00ED7831"/>
    <w:rsid w:val="00ED7E35"/>
    <w:rsid w:val="00EE35BC"/>
    <w:rsid w:val="00EE37BD"/>
    <w:rsid w:val="00EE3A8A"/>
    <w:rsid w:val="00EE54A6"/>
    <w:rsid w:val="00EE5FE6"/>
    <w:rsid w:val="00EE6943"/>
    <w:rsid w:val="00EE7BB1"/>
    <w:rsid w:val="00EF0702"/>
    <w:rsid w:val="00EF1300"/>
    <w:rsid w:val="00EF3FE7"/>
    <w:rsid w:val="00EF45E6"/>
    <w:rsid w:val="00EF5340"/>
    <w:rsid w:val="00EF5675"/>
    <w:rsid w:val="00EF5E36"/>
    <w:rsid w:val="00EF655C"/>
    <w:rsid w:val="00EF7548"/>
    <w:rsid w:val="00F00434"/>
    <w:rsid w:val="00F01A04"/>
    <w:rsid w:val="00F01C71"/>
    <w:rsid w:val="00F033C1"/>
    <w:rsid w:val="00F04ACA"/>
    <w:rsid w:val="00F0711B"/>
    <w:rsid w:val="00F072B6"/>
    <w:rsid w:val="00F102E3"/>
    <w:rsid w:val="00F14639"/>
    <w:rsid w:val="00F15E91"/>
    <w:rsid w:val="00F16033"/>
    <w:rsid w:val="00F17EA3"/>
    <w:rsid w:val="00F230D7"/>
    <w:rsid w:val="00F2367F"/>
    <w:rsid w:val="00F239E2"/>
    <w:rsid w:val="00F24472"/>
    <w:rsid w:val="00F269C9"/>
    <w:rsid w:val="00F26B9F"/>
    <w:rsid w:val="00F27BA8"/>
    <w:rsid w:val="00F27F8A"/>
    <w:rsid w:val="00F30EAE"/>
    <w:rsid w:val="00F33910"/>
    <w:rsid w:val="00F33948"/>
    <w:rsid w:val="00F3465E"/>
    <w:rsid w:val="00F34BFF"/>
    <w:rsid w:val="00F34D3F"/>
    <w:rsid w:val="00F35A69"/>
    <w:rsid w:val="00F35E4A"/>
    <w:rsid w:val="00F35F86"/>
    <w:rsid w:val="00F40FD3"/>
    <w:rsid w:val="00F42350"/>
    <w:rsid w:val="00F429E0"/>
    <w:rsid w:val="00F42EDD"/>
    <w:rsid w:val="00F4318A"/>
    <w:rsid w:val="00F4378A"/>
    <w:rsid w:val="00F4447E"/>
    <w:rsid w:val="00F44983"/>
    <w:rsid w:val="00F4609C"/>
    <w:rsid w:val="00F5066B"/>
    <w:rsid w:val="00F523E2"/>
    <w:rsid w:val="00F52B00"/>
    <w:rsid w:val="00F539B0"/>
    <w:rsid w:val="00F54EE9"/>
    <w:rsid w:val="00F57317"/>
    <w:rsid w:val="00F62FE6"/>
    <w:rsid w:val="00F63353"/>
    <w:rsid w:val="00F6485C"/>
    <w:rsid w:val="00F65D81"/>
    <w:rsid w:val="00F67078"/>
    <w:rsid w:val="00F672D9"/>
    <w:rsid w:val="00F73309"/>
    <w:rsid w:val="00F73896"/>
    <w:rsid w:val="00F73A23"/>
    <w:rsid w:val="00F74A9C"/>
    <w:rsid w:val="00F750B9"/>
    <w:rsid w:val="00F771F0"/>
    <w:rsid w:val="00F800E0"/>
    <w:rsid w:val="00F80BD2"/>
    <w:rsid w:val="00F81FAC"/>
    <w:rsid w:val="00F82E71"/>
    <w:rsid w:val="00F83AE7"/>
    <w:rsid w:val="00F84A1D"/>
    <w:rsid w:val="00F856B3"/>
    <w:rsid w:val="00F8782E"/>
    <w:rsid w:val="00F9232A"/>
    <w:rsid w:val="00F9325C"/>
    <w:rsid w:val="00F9368A"/>
    <w:rsid w:val="00F9447F"/>
    <w:rsid w:val="00F9499A"/>
    <w:rsid w:val="00F95921"/>
    <w:rsid w:val="00F96D39"/>
    <w:rsid w:val="00F96EB5"/>
    <w:rsid w:val="00F9739D"/>
    <w:rsid w:val="00F97874"/>
    <w:rsid w:val="00FA2B54"/>
    <w:rsid w:val="00FA3779"/>
    <w:rsid w:val="00FA4F0A"/>
    <w:rsid w:val="00FA6639"/>
    <w:rsid w:val="00FB0774"/>
    <w:rsid w:val="00FB1886"/>
    <w:rsid w:val="00FB234C"/>
    <w:rsid w:val="00FB3C2E"/>
    <w:rsid w:val="00FB5B64"/>
    <w:rsid w:val="00FB5FF3"/>
    <w:rsid w:val="00FC0553"/>
    <w:rsid w:val="00FC12EC"/>
    <w:rsid w:val="00FC2E09"/>
    <w:rsid w:val="00FC3551"/>
    <w:rsid w:val="00FC542D"/>
    <w:rsid w:val="00FC7786"/>
    <w:rsid w:val="00FC7911"/>
    <w:rsid w:val="00FD0810"/>
    <w:rsid w:val="00FD08DD"/>
    <w:rsid w:val="00FD112B"/>
    <w:rsid w:val="00FD26F7"/>
    <w:rsid w:val="00FD4A85"/>
    <w:rsid w:val="00FE008E"/>
    <w:rsid w:val="00FE13E5"/>
    <w:rsid w:val="00FE2A68"/>
    <w:rsid w:val="00FE2C1E"/>
    <w:rsid w:val="00FE6737"/>
    <w:rsid w:val="00FE6A44"/>
    <w:rsid w:val="00FE7019"/>
    <w:rsid w:val="00FE7B82"/>
    <w:rsid w:val="00FE7C55"/>
    <w:rsid w:val="00FF0D0C"/>
    <w:rsid w:val="00FF2D41"/>
    <w:rsid w:val="00FF3E47"/>
    <w:rsid w:val="00FF62F1"/>
    <w:rsid w:val="00FF6855"/>
    <w:rsid w:val="00FF6862"/>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094"/>
    <w:pPr>
      <w:keepNext/>
      <w:ind w:firstLine="426"/>
      <w:outlineLvl w:val="0"/>
    </w:pPr>
    <w:rPr>
      <w:rFonts w:ascii="a_FuturaOrto" w:hAnsi="a_FuturaOrto"/>
      <w:snapToGrid w:val="0"/>
      <w:szCs w:val="20"/>
    </w:rPr>
  </w:style>
  <w:style w:type="paragraph" w:styleId="3">
    <w:name w:val="heading 3"/>
    <w:basedOn w:val="a"/>
    <w:next w:val="a"/>
    <w:link w:val="30"/>
    <w:qFormat/>
    <w:rsid w:val="0078718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871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871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094"/>
    <w:rPr>
      <w:rFonts w:ascii="a_FuturaOrto" w:eastAsia="Times New Roman" w:hAnsi="a_FuturaOrto" w:cs="Times New Roman"/>
      <w:snapToGrid w:val="0"/>
      <w:sz w:val="24"/>
      <w:szCs w:val="20"/>
      <w:lang w:eastAsia="ru-RU"/>
    </w:rPr>
  </w:style>
  <w:style w:type="paragraph" w:styleId="a3">
    <w:name w:val="Title"/>
    <w:basedOn w:val="a"/>
    <w:link w:val="a4"/>
    <w:qFormat/>
    <w:rsid w:val="005B4094"/>
    <w:pPr>
      <w:widowControl w:val="0"/>
      <w:jc w:val="center"/>
    </w:pPr>
    <w:rPr>
      <w:rFonts w:ascii="a_FuturaOrto" w:hAnsi="a_FuturaOrto"/>
      <w:snapToGrid w:val="0"/>
      <w:color w:val="000080"/>
      <w:szCs w:val="20"/>
    </w:rPr>
  </w:style>
  <w:style w:type="character" w:customStyle="1" w:styleId="a4">
    <w:name w:val="Название Знак"/>
    <w:basedOn w:val="a0"/>
    <w:link w:val="a3"/>
    <w:rsid w:val="005B4094"/>
    <w:rPr>
      <w:rFonts w:ascii="a_FuturaOrto" w:eastAsia="Times New Roman" w:hAnsi="a_FuturaOrto" w:cs="Times New Roman"/>
      <w:snapToGrid w:val="0"/>
      <w:color w:val="000080"/>
      <w:sz w:val="24"/>
      <w:szCs w:val="20"/>
      <w:lang w:eastAsia="ru-RU"/>
    </w:rPr>
  </w:style>
  <w:style w:type="paragraph" w:styleId="a5">
    <w:name w:val="header"/>
    <w:basedOn w:val="a"/>
    <w:link w:val="a6"/>
    <w:rsid w:val="005B4094"/>
    <w:pPr>
      <w:tabs>
        <w:tab w:val="center" w:pos="4677"/>
        <w:tab w:val="right" w:pos="9355"/>
      </w:tabs>
    </w:pPr>
    <w:rPr>
      <w:sz w:val="20"/>
      <w:szCs w:val="20"/>
    </w:rPr>
  </w:style>
  <w:style w:type="character" w:customStyle="1" w:styleId="a6">
    <w:name w:val="Верхний колонтитул Знак"/>
    <w:basedOn w:val="a0"/>
    <w:link w:val="a5"/>
    <w:rsid w:val="005B4094"/>
    <w:rPr>
      <w:rFonts w:ascii="Times New Roman" w:eastAsia="Times New Roman" w:hAnsi="Times New Roman" w:cs="Times New Roman"/>
      <w:sz w:val="20"/>
      <w:szCs w:val="20"/>
      <w:lang w:eastAsia="ru-RU"/>
    </w:rPr>
  </w:style>
  <w:style w:type="paragraph" w:styleId="a7">
    <w:name w:val="Body Text Indent"/>
    <w:basedOn w:val="a"/>
    <w:link w:val="a8"/>
    <w:rsid w:val="005B4094"/>
    <w:pPr>
      <w:spacing w:after="120"/>
      <w:ind w:left="283"/>
    </w:pPr>
  </w:style>
  <w:style w:type="character" w:customStyle="1" w:styleId="a8">
    <w:name w:val="Основной текст с отступом Знак"/>
    <w:basedOn w:val="a0"/>
    <w:link w:val="a7"/>
    <w:rsid w:val="005B4094"/>
    <w:rPr>
      <w:rFonts w:ascii="Times New Roman" w:eastAsia="Times New Roman" w:hAnsi="Times New Roman" w:cs="Times New Roman"/>
      <w:sz w:val="24"/>
      <w:szCs w:val="24"/>
      <w:lang w:eastAsia="ru-RU"/>
    </w:rPr>
  </w:style>
  <w:style w:type="character" w:styleId="a9">
    <w:name w:val="Hyperlink"/>
    <w:basedOn w:val="a0"/>
    <w:uiPriority w:val="99"/>
    <w:rsid w:val="005B4094"/>
    <w:rPr>
      <w:color w:val="0000FF"/>
      <w:u w:val="single"/>
    </w:rPr>
  </w:style>
  <w:style w:type="paragraph" w:styleId="aa">
    <w:name w:val="Balloon Text"/>
    <w:basedOn w:val="a"/>
    <w:link w:val="ab"/>
    <w:semiHidden/>
    <w:unhideWhenUsed/>
    <w:rsid w:val="005B4094"/>
    <w:rPr>
      <w:rFonts w:ascii="Tahoma" w:hAnsi="Tahoma" w:cs="Tahoma"/>
      <w:sz w:val="16"/>
      <w:szCs w:val="16"/>
    </w:rPr>
  </w:style>
  <w:style w:type="character" w:customStyle="1" w:styleId="ab">
    <w:name w:val="Текст выноски Знак"/>
    <w:basedOn w:val="a0"/>
    <w:link w:val="aa"/>
    <w:semiHidden/>
    <w:rsid w:val="005B4094"/>
    <w:rPr>
      <w:rFonts w:ascii="Tahoma" w:eastAsia="Times New Roman" w:hAnsi="Tahoma" w:cs="Tahoma"/>
      <w:sz w:val="16"/>
      <w:szCs w:val="16"/>
      <w:lang w:eastAsia="ru-RU"/>
    </w:rPr>
  </w:style>
  <w:style w:type="character" w:styleId="ac">
    <w:name w:val="annotation reference"/>
    <w:basedOn w:val="a0"/>
    <w:uiPriority w:val="99"/>
    <w:semiHidden/>
    <w:unhideWhenUsed/>
    <w:rsid w:val="005F1541"/>
    <w:rPr>
      <w:sz w:val="16"/>
      <w:szCs w:val="16"/>
    </w:rPr>
  </w:style>
  <w:style w:type="paragraph" w:styleId="ad">
    <w:name w:val="annotation text"/>
    <w:basedOn w:val="a"/>
    <w:link w:val="ae"/>
    <w:uiPriority w:val="99"/>
    <w:semiHidden/>
    <w:unhideWhenUsed/>
    <w:rsid w:val="005F1541"/>
    <w:rPr>
      <w:sz w:val="20"/>
      <w:szCs w:val="20"/>
    </w:rPr>
  </w:style>
  <w:style w:type="character" w:customStyle="1" w:styleId="ae">
    <w:name w:val="Текст примечания Знак"/>
    <w:basedOn w:val="a0"/>
    <w:link w:val="ad"/>
    <w:uiPriority w:val="99"/>
    <w:semiHidden/>
    <w:rsid w:val="005F154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F1541"/>
    <w:rPr>
      <w:b/>
      <w:bCs/>
    </w:rPr>
  </w:style>
  <w:style w:type="character" w:customStyle="1" w:styleId="af0">
    <w:name w:val="Тема примечания Знак"/>
    <w:basedOn w:val="ae"/>
    <w:link w:val="af"/>
    <w:uiPriority w:val="99"/>
    <w:semiHidden/>
    <w:rsid w:val="005F1541"/>
    <w:rPr>
      <w:rFonts w:ascii="Times New Roman" w:eastAsia="Times New Roman" w:hAnsi="Times New Roman" w:cs="Times New Roman"/>
      <w:b/>
      <w:bCs/>
      <w:sz w:val="20"/>
      <w:szCs w:val="20"/>
      <w:lang w:eastAsia="ru-RU"/>
    </w:rPr>
  </w:style>
  <w:style w:type="paragraph" w:styleId="af1">
    <w:name w:val="List Paragraph"/>
    <w:basedOn w:val="a"/>
    <w:uiPriority w:val="99"/>
    <w:qFormat/>
    <w:rsid w:val="00396D62"/>
    <w:pPr>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rsid w:val="00396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78718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rsid w:val="0078718F"/>
    <w:rPr>
      <w:rFonts w:ascii="Arial" w:eastAsia="Times New Roman" w:hAnsi="Arial" w:cs="Arial"/>
      <w:b/>
      <w:bCs/>
      <w:sz w:val="26"/>
      <w:szCs w:val="26"/>
      <w:lang w:eastAsia="ru-RU"/>
    </w:rPr>
  </w:style>
  <w:style w:type="character" w:customStyle="1" w:styleId="50">
    <w:name w:val="Заголовок 5 Знак"/>
    <w:basedOn w:val="a0"/>
    <w:link w:val="5"/>
    <w:rsid w:val="0078718F"/>
    <w:rPr>
      <w:rFonts w:ascii="Times New Roman" w:eastAsia="Times New Roman" w:hAnsi="Times New Roman" w:cs="Times New Roman"/>
      <w:b/>
      <w:bCs/>
      <w:i/>
      <w:iCs/>
      <w:sz w:val="26"/>
      <w:szCs w:val="26"/>
      <w:lang w:eastAsia="ru-RU"/>
    </w:rPr>
  </w:style>
  <w:style w:type="paragraph" w:styleId="af3">
    <w:name w:val="Body Text"/>
    <w:basedOn w:val="a"/>
    <w:link w:val="af4"/>
    <w:rsid w:val="0078718F"/>
    <w:pPr>
      <w:jc w:val="both"/>
    </w:pPr>
    <w:rPr>
      <w:rFonts w:ascii="Arial" w:hAnsi="Arial"/>
      <w:sz w:val="28"/>
      <w:szCs w:val="20"/>
    </w:rPr>
  </w:style>
  <w:style w:type="character" w:customStyle="1" w:styleId="af4">
    <w:name w:val="Основной текст Знак"/>
    <w:basedOn w:val="a0"/>
    <w:link w:val="af3"/>
    <w:rsid w:val="0078718F"/>
    <w:rPr>
      <w:rFonts w:ascii="Arial" w:eastAsia="Times New Roman" w:hAnsi="Arial" w:cs="Times New Roman"/>
      <w:sz w:val="28"/>
      <w:szCs w:val="20"/>
      <w:lang w:eastAsia="ru-RU"/>
    </w:rPr>
  </w:style>
  <w:style w:type="paragraph" w:customStyle="1" w:styleId="af5">
    <w:name w:val="Знак"/>
    <w:basedOn w:val="a"/>
    <w:rsid w:val="0078718F"/>
    <w:rPr>
      <w:rFonts w:ascii="Verdana" w:hAnsi="Verdana" w:cs="Verdana"/>
      <w:sz w:val="20"/>
      <w:szCs w:val="20"/>
      <w:lang w:val="en-US" w:eastAsia="en-US"/>
    </w:rPr>
  </w:style>
  <w:style w:type="paragraph" w:styleId="31">
    <w:name w:val="Body Text 3"/>
    <w:basedOn w:val="a"/>
    <w:link w:val="32"/>
    <w:rsid w:val="0078718F"/>
    <w:pPr>
      <w:spacing w:after="120"/>
    </w:pPr>
    <w:rPr>
      <w:sz w:val="16"/>
      <w:szCs w:val="16"/>
    </w:rPr>
  </w:style>
  <w:style w:type="character" w:customStyle="1" w:styleId="32">
    <w:name w:val="Основной текст 3 Знак"/>
    <w:basedOn w:val="a0"/>
    <w:link w:val="31"/>
    <w:rsid w:val="0078718F"/>
    <w:rPr>
      <w:rFonts w:ascii="Times New Roman" w:eastAsia="Times New Roman" w:hAnsi="Times New Roman" w:cs="Times New Roman"/>
      <w:sz w:val="16"/>
      <w:szCs w:val="16"/>
      <w:lang w:eastAsia="ru-RU"/>
    </w:rPr>
  </w:style>
  <w:style w:type="character" w:styleId="af6">
    <w:name w:val="page number"/>
    <w:basedOn w:val="a0"/>
    <w:rsid w:val="0078718F"/>
  </w:style>
  <w:style w:type="paragraph" w:styleId="HTML">
    <w:name w:val="HTML Preformatted"/>
    <w:basedOn w:val="a"/>
    <w:link w:val="HTML0"/>
    <w:rsid w:val="0078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8718F"/>
    <w:rPr>
      <w:rFonts w:ascii="Courier New" w:eastAsia="Times New Roman" w:hAnsi="Courier New" w:cs="Courier New"/>
      <w:sz w:val="20"/>
      <w:szCs w:val="20"/>
      <w:lang w:eastAsia="ru-RU"/>
    </w:rPr>
  </w:style>
  <w:style w:type="paragraph" w:styleId="af7">
    <w:name w:val="Normal (Web)"/>
    <w:basedOn w:val="a"/>
    <w:uiPriority w:val="99"/>
    <w:rsid w:val="0078718F"/>
    <w:pPr>
      <w:spacing w:before="100" w:beforeAutospacing="1" w:after="100" w:afterAutospacing="1"/>
    </w:pPr>
    <w:rPr>
      <w:rFonts w:ascii="Arial Unicode MS" w:eastAsia="Arial Unicode MS" w:hAnsi="Arial Unicode MS" w:cs="Arial Unicode MS"/>
    </w:rPr>
  </w:style>
  <w:style w:type="paragraph" w:customStyle="1" w:styleId="11">
    <w:name w:val="Обычный1"/>
    <w:rsid w:val="0078718F"/>
    <w:pPr>
      <w:spacing w:after="0" w:line="240" w:lineRule="auto"/>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8718F"/>
    <w:rPr>
      <w:rFonts w:ascii="Verdana" w:hAnsi="Verdana" w:cs="Verdana"/>
      <w:sz w:val="20"/>
      <w:szCs w:val="20"/>
      <w:lang w:val="en-US" w:eastAsia="en-US"/>
    </w:rPr>
  </w:style>
  <w:style w:type="paragraph" w:styleId="af8">
    <w:name w:val="footer"/>
    <w:basedOn w:val="a"/>
    <w:link w:val="af9"/>
    <w:rsid w:val="0078718F"/>
    <w:pPr>
      <w:tabs>
        <w:tab w:val="center" w:pos="4677"/>
        <w:tab w:val="right" w:pos="9355"/>
      </w:tabs>
    </w:pPr>
  </w:style>
  <w:style w:type="character" w:customStyle="1" w:styleId="af9">
    <w:name w:val="Нижний колонтитул Знак"/>
    <w:basedOn w:val="a0"/>
    <w:link w:val="af8"/>
    <w:rsid w:val="0078718F"/>
    <w:rPr>
      <w:rFonts w:ascii="Times New Roman" w:eastAsia="Times New Roman" w:hAnsi="Times New Roman" w:cs="Times New Roman"/>
      <w:sz w:val="24"/>
      <w:szCs w:val="24"/>
      <w:lang w:eastAsia="ru-RU"/>
    </w:rPr>
  </w:style>
  <w:style w:type="paragraph" w:styleId="2">
    <w:name w:val="Body Text Indent 2"/>
    <w:basedOn w:val="a"/>
    <w:link w:val="20"/>
    <w:rsid w:val="0078718F"/>
    <w:pPr>
      <w:spacing w:after="120" w:line="480" w:lineRule="auto"/>
      <w:ind w:left="283"/>
    </w:pPr>
  </w:style>
  <w:style w:type="character" w:customStyle="1" w:styleId="20">
    <w:name w:val="Основной текст с отступом 2 Знак"/>
    <w:basedOn w:val="a0"/>
    <w:link w:val="2"/>
    <w:rsid w:val="0078718F"/>
    <w:rPr>
      <w:rFonts w:ascii="Times New Roman" w:eastAsia="Times New Roman" w:hAnsi="Times New Roman" w:cs="Times New Roman"/>
      <w:sz w:val="24"/>
      <w:szCs w:val="24"/>
      <w:lang w:eastAsia="ru-RU"/>
    </w:rPr>
  </w:style>
  <w:style w:type="paragraph" w:styleId="afa">
    <w:name w:val="Plain Text"/>
    <w:aliases w:val="Текст Знак1 Знак,Текст Знак Знак Знак, Знак Знак Знак Знак,Знак Знак Знак 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12"/>
    <w:rsid w:val="0078718F"/>
    <w:rPr>
      <w:rFonts w:ascii="Courier New" w:hAnsi="Courier New" w:cs="Courier New"/>
      <w:sz w:val="20"/>
      <w:szCs w:val="20"/>
    </w:rPr>
  </w:style>
  <w:style w:type="character" w:customStyle="1" w:styleId="afb">
    <w:name w:val="Текст Знак"/>
    <w:basedOn w:val="a0"/>
    <w:uiPriority w:val="99"/>
    <w:semiHidden/>
    <w:rsid w:val="0078718F"/>
    <w:rPr>
      <w:rFonts w:ascii="Consolas" w:eastAsia="Times New Roman" w:hAnsi="Consolas" w:cs="Consolas"/>
      <w:sz w:val="21"/>
      <w:szCs w:val="21"/>
      <w:lang w:eastAsia="ru-RU"/>
    </w:rPr>
  </w:style>
  <w:style w:type="character" w:customStyle="1" w:styleId="12">
    <w:name w:val="Текст Знак1"/>
    <w:aliases w:val="Текст Знак1 Знак Знак1,Текст Знак Знак Знак Знак1, Знак Знак Знак Знак Знак1,Знак Знак Знак Знак Знак1,Текст Знак2 Знак,Текст Знак1 Знак Знак Знак,Текст Знак Знак Знак Знак Знак,Знак Знак Знак Знак Знак Знак,Знак Знак Знак Знак1 Знак"/>
    <w:basedOn w:val="a0"/>
    <w:link w:val="afa"/>
    <w:rsid w:val="0078718F"/>
    <w:rPr>
      <w:rFonts w:ascii="Courier New" w:eastAsia="Times New Roman" w:hAnsi="Courier New" w:cs="Courier New"/>
      <w:sz w:val="20"/>
      <w:szCs w:val="20"/>
      <w:lang w:eastAsia="ru-RU"/>
    </w:rPr>
  </w:style>
  <w:style w:type="character" w:styleId="afc">
    <w:name w:val="FollowedHyperlink"/>
    <w:basedOn w:val="a0"/>
    <w:uiPriority w:val="99"/>
    <w:semiHidden/>
    <w:unhideWhenUsed/>
    <w:rsid w:val="0078718F"/>
    <w:rPr>
      <w:color w:val="800080"/>
      <w:u w:val="single"/>
    </w:rPr>
  </w:style>
  <w:style w:type="paragraph" w:customStyle="1" w:styleId="font5">
    <w:name w:val="font5"/>
    <w:basedOn w:val="a"/>
    <w:rsid w:val="0078718F"/>
    <w:pPr>
      <w:spacing w:before="100" w:beforeAutospacing="1" w:after="100" w:afterAutospacing="1"/>
    </w:pPr>
    <w:rPr>
      <w:color w:val="000000"/>
      <w:sz w:val="20"/>
      <w:szCs w:val="20"/>
    </w:rPr>
  </w:style>
  <w:style w:type="paragraph" w:customStyle="1" w:styleId="xl65">
    <w:name w:val="xl65"/>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8">
    <w:name w:val="xl68"/>
    <w:basedOn w:val="a"/>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69">
    <w:name w:val="xl69"/>
    <w:basedOn w:val="a"/>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70">
    <w:name w:val="xl70"/>
    <w:basedOn w:val="a"/>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78718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78718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
    <w:rsid w:val="0078718F"/>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79">
    <w:name w:val="xl79"/>
    <w:basedOn w:val="a"/>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80">
    <w:name w:val="xl80"/>
    <w:basedOn w:val="a"/>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1">
    <w:name w:val="xl81"/>
    <w:basedOn w:val="a"/>
    <w:rsid w:val="0078718F"/>
    <w:pPr>
      <w:spacing w:before="100" w:beforeAutospacing="1" w:after="100" w:afterAutospacing="1"/>
    </w:pPr>
    <w:rPr>
      <w:sz w:val="20"/>
      <w:szCs w:val="20"/>
    </w:rPr>
  </w:style>
  <w:style w:type="paragraph" w:customStyle="1" w:styleId="xl82">
    <w:name w:val="xl82"/>
    <w:basedOn w:val="a"/>
    <w:rsid w:val="0078718F"/>
    <w:pPr>
      <w:spacing w:before="100" w:beforeAutospacing="1" w:after="100" w:afterAutospacing="1"/>
      <w:textAlignment w:val="top"/>
    </w:pPr>
    <w:rPr>
      <w:b/>
      <w:bCs/>
      <w:sz w:val="20"/>
      <w:szCs w:val="20"/>
    </w:rPr>
  </w:style>
  <w:style w:type="paragraph" w:customStyle="1" w:styleId="xl83">
    <w:name w:val="xl83"/>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4">
    <w:name w:val="xl84"/>
    <w:basedOn w:val="a"/>
    <w:rsid w:val="0078718F"/>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
    <w:rsid w:val="0078718F"/>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78718F"/>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7">
    <w:name w:val="xl87"/>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9">
    <w:name w:val="xl89"/>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0">
    <w:name w:val="xl90"/>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1">
    <w:name w:val="xl91"/>
    <w:basedOn w:val="a"/>
    <w:rsid w:val="0078718F"/>
    <w:pPr>
      <w:spacing w:before="100" w:beforeAutospacing="1" w:after="100" w:afterAutospacing="1"/>
      <w:textAlignment w:val="center"/>
    </w:pPr>
    <w:rPr>
      <w:sz w:val="20"/>
      <w:szCs w:val="20"/>
    </w:rPr>
  </w:style>
  <w:style w:type="paragraph" w:customStyle="1" w:styleId="xl92">
    <w:name w:val="xl92"/>
    <w:basedOn w:val="a"/>
    <w:rsid w:val="0078718F"/>
    <w:pPr>
      <w:spacing w:before="100" w:beforeAutospacing="1" w:after="100" w:afterAutospacing="1"/>
      <w:textAlignment w:val="center"/>
    </w:pPr>
  </w:style>
  <w:style w:type="paragraph" w:styleId="afd">
    <w:name w:val="footnote text"/>
    <w:basedOn w:val="a"/>
    <w:link w:val="afe"/>
    <w:uiPriority w:val="99"/>
    <w:semiHidden/>
    <w:unhideWhenUsed/>
    <w:rsid w:val="00CF0D43"/>
    <w:rPr>
      <w:sz w:val="20"/>
      <w:szCs w:val="20"/>
    </w:rPr>
  </w:style>
  <w:style w:type="character" w:customStyle="1" w:styleId="afe">
    <w:name w:val="Текст сноски Знак"/>
    <w:basedOn w:val="a0"/>
    <w:link w:val="afd"/>
    <w:uiPriority w:val="99"/>
    <w:semiHidden/>
    <w:rsid w:val="00CF0D43"/>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CF0D43"/>
    <w:rPr>
      <w:vertAlign w:val="superscript"/>
    </w:rPr>
  </w:style>
  <w:style w:type="paragraph" w:customStyle="1" w:styleId="Iauiue">
    <w:name w:val="Iau?iue"/>
    <w:rsid w:val="00D9394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5300059">
      <w:bodyDiv w:val="1"/>
      <w:marLeft w:val="0"/>
      <w:marRight w:val="0"/>
      <w:marTop w:val="0"/>
      <w:marBottom w:val="0"/>
      <w:divBdr>
        <w:top w:val="none" w:sz="0" w:space="0" w:color="auto"/>
        <w:left w:val="none" w:sz="0" w:space="0" w:color="auto"/>
        <w:bottom w:val="none" w:sz="0" w:space="0" w:color="auto"/>
        <w:right w:val="none" w:sz="0" w:space="0" w:color="auto"/>
      </w:divBdr>
    </w:div>
    <w:div w:id="101727766">
      <w:bodyDiv w:val="1"/>
      <w:marLeft w:val="0"/>
      <w:marRight w:val="0"/>
      <w:marTop w:val="0"/>
      <w:marBottom w:val="0"/>
      <w:divBdr>
        <w:top w:val="none" w:sz="0" w:space="0" w:color="auto"/>
        <w:left w:val="none" w:sz="0" w:space="0" w:color="auto"/>
        <w:bottom w:val="none" w:sz="0" w:space="0" w:color="auto"/>
        <w:right w:val="none" w:sz="0" w:space="0" w:color="auto"/>
      </w:divBdr>
    </w:div>
    <w:div w:id="908658725">
      <w:bodyDiv w:val="1"/>
      <w:marLeft w:val="0"/>
      <w:marRight w:val="0"/>
      <w:marTop w:val="0"/>
      <w:marBottom w:val="0"/>
      <w:divBdr>
        <w:top w:val="none" w:sz="0" w:space="0" w:color="auto"/>
        <w:left w:val="none" w:sz="0" w:space="0" w:color="auto"/>
        <w:bottom w:val="none" w:sz="0" w:space="0" w:color="auto"/>
        <w:right w:val="none" w:sz="0" w:space="0" w:color="auto"/>
      </w:divBdr>
    </w:div>
    <w:div w:id="935138214">
      <w:bodyDiv w:val="1"/>
      <w:marLeft w:val="0"/>
      <w:marRight w:val="0"/>
      <w:marTop w:val="0"/>
      <w:marBottom w:val="0"/>
      <w:divBdr>
        <w:top w:val="none" w:sz="0" w:space="0" w:color="auto"/>
        <w:left w:val="none" w:sz="0" w:space="0" w:color="auto"/>
        <w:bottom w:val="none" w:sz="0" w:space="0" w:color="auto"/>
        <w:right w:val="none" w:sz="0" w:space="0" w:color="auto"/>
      </w:divBdr>
    </w:div>
    <w:div w:id="1663973314">
      <w:bodyDiv w:val="1"/>
      <w:marLeft w:val="0"/>
      <w:marRight w:val="0"/>
      <w:marTop w:val="0"/>
      <w:marBottom w:val="0"/>
      <w:divBdr>
        <w:top w:val="none" w:sz="0" w:space="0" w:color="auto"/>
        <w:left w:val="none" w:sz="0" w:space="0" w:color="auto"/>
        <w:bottom w:val="none" w:sz="0" w:space="0" w:color="auto"/>
        <w:right w:val="none" w:sz="0" w:space="0" w:color="auto"/>
      </w:divBdr>
    </w:div>
    <w:div w:id="21096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Z:\&#1042;&#1085;&#1091;&#1090;&#1088;&#1077;&#1085;&#1085;&#1080;&#1077;%20&#1076;&#1086;&#1082;&#1091;&#1084;&#1077;&#1085;&#1090;&#1099;\&#1053;&#1041;%20&#1055;&#1056;&#1041;\&#1053;&#1040;%20&#1055;&#1056;&#1041;\&#1059;&#1082;&#1072;&#1079;&#1072;&#1085;&#1080;&#1103;\2018\N%201128-&#1059;%20&#1086;&#1090;%2007.12.2018.doc" TargetMode="External"/><Relationship Id="rId4" Type="http://schemas.openxmlformats.org/officeDocument/2006/relationships/settings" Target="settings.xml"/><Relationship Id="rId9" Type="http://schemas.openxmlformats.org/officeDocument/2006/relationships/hyperlink" Target="file:///Z:\&#1042;&#1085;&#1091;&#1090;&#1088;&#1077;&#1085;&#1085;&#1080;&#1077;%20&#1076;&#1086;&#1082;&#1091;&#1084;&#1077;&#1085;&#1090;&#1099;\&#1053;&#1041;%20&#1055;&#1056;&#1041;\&#1053;&#1040;%20&#1055;&#1056;&#1041;\&#1059;&#1082;&#1072;&#1079;&#1072;&#1085;&#1080;&#1103;\2018\N%201090-&#1059;%20&#1086;&#1090;%2006.07.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1EA3-33D0-4172-97F2-DBC8F7AA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u129</dc:creator>
  <cp:lastModifiedBy>u083</cp:lastModifiedBy>
  <cp:revision>4</cp:revision>
  <cp:lastPrinted>2019-08-05T13:52:00Z</cp:lastPrinted>
  <dcterms:created xsi:type="dcterms:W3CDTF">2019-10-18T06:18:00Z</dcterms:created>
  <dcterms:modified xsi:type="dcterms:W3CDTF">2019-10-18T06:18:00Z</dcterms:modified>
</cp:coreProperties>
</file>