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11077F" w:rsidRPr="00EC7F87" w:rsidTr="00BB2842">
        <w:tc>
          <w:tcPr>
            <w:tcW w:w="3828" w:type="dxa"/>
          </w:tcPr>
          <w:p w:rsidR="0011077F" w:rsidRPr="00EC7F87" w:rsidRDefault="0011077F" w:rsidP="00700057">
            <w:pPr>
              <w:pStyle w:val="1"/>
              <w:jc w:val="center"/>
            </w:pPr>
            <w:r w:rsidRPr="00EC7F87">
              <w:t>БАНКА РЕПУБЛИКАНЭ</w:t>
            </w:r>
          </w:p>
          <w:p w:rsidR="0011077F" w:rsidRPr="00EC7F87" w:rsidRDefault="0011077F" w:rsidP="00700057">
            <w:pPr>
              <w:jc w:val="center"/>
              <w:rPr>
                <w:sz w:val="24"/>
                <w:szCs w:val="24"/>
                <w:lang w:val="en-US"/>
              </w:rPr>
            </w:pPr>
            <w:r w:rsidRPr="00EC7F87">
              <w:rPr>
                <w:sz w:val="24"/>
                <w:szCs w:val="24"/>
                <w:lang w:val="en-US"/>
              </w:rPr>
              <w:t>НИСТРЯНЭ</w:t>
            </w:r>
          </w:p>
          <w:p w:rsidR="0011077F" w:rsidRPr="00EC7F87" w:rsidRDefault="0011077F" w:rsidP="007000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BD4" w:rsidRPr="00EC7F87" w:rsidRDefault="002A3BD4" w:rsidP="002A3BD4">
            <w:pPr>
              <w:jc w:val="center"/>
              <w:rPr>
                <w:sz w:val="24"/>
                <w:szCs w:val="24"/>
              </w:rPr>
            </w:pPr>
            <w:r w:rsidRPr="00EC7F87">
              <w:rPr>
                <w:noProof/>
                <w:sz w:val="26"/>
                <w:szCs w:val="26"/>
              </w:rPr>
              <w:drawing>
                <wp:inline distT="0" distB="0" distL="0" distR="0" wp14:anchorId="6F766773" wp14:editId="2C6BA7BB">
                  <wp:extent cx="659765" cy="707390"/>
                  <wp:effectExtent l="19050" t="0" r="6985" b="0"/>
                  <wp:docPr id="2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1077F" w:rsidRPr="00EC7F87" w:rsidRDefault="00700057" w:rsidP="00700057">
            <w:pPr>
              <w:pStyle w:val="1"/>
              <w:jc w:val="center"/>
              <w:rPr>
                <w:lang w:val="ru-RU"/>
              </w:rPr>
            </w:pPr>
            <w:r w:rsidRPr="00EC7F87">
              <w:t>ПРИДНIСТРОВСЬКИЙ</w:t>
            </w:r>
          </w:p>
          <w:p w:rsidR="0011077F" w:rsidRPr="00EC7F87" w:rsidRDefault="0011077F" w:rsidP="00700057">
            <w:pPr>
              <w:pStyle w:val="1"/>
              <w:jc w:val="center"/>
            </w:pPr>
            <w:r w:rsidRPr="00EC7F87">
              <w:t>РЕСПУБЛIКАНСЬКИЙ БАНК</w:t>
            </w:r>
          </w:p>
          <w:p w:rsidR="0011077F" w:rsidRPr="00EC7F87" w:rsidRDefault="0011077F" w:rsidP="00700057">
            <w:pPr>
              <w:rPr>
                <w:sz w:val="24"/>
                <w:szCs w:val="24"/>
                <w:lang w:val="en-US"/>
              </w:rPr>
            </w:pPr>
          </w:p>
        </w:tc>
      </w:tr>
      <w:tr w:rsidR="0011077F" w:rsidRPr="00EC7F87" w:rsidTr="00BB2842">
        <w:trPr>
          <w:cantSplit/>
        </w:trPr>
        <w:tc>
          <w:tcPr>
            <w:tcW w:w="9356" w:type="dxa"/>
            <w:gridSpan w:val="3"/>
          </w:tcPr>
          <w:p w:rsidR="0011077F" w:rsidRPr="00EC7F87" w:rsidRDefault="00700057" w:rsidP="002A3BD4">
            <w:pPr>
              <w:pStyle w:val="1"/>
              <w:spacing w:before="120"/>
              <w:jc w:val="center"/>
              <w:rPr>
                <w:lang w:val="ru-RU"/>
              </w:rPr>
            </w:pPr>
            <w:r w:rsidRPr="00EC7F87">
              <w:rPr>
                <w:lang w:val="ru-RU"/>
              </w:rPr>
              <w:t>ПРИДНЕСТРОВСКИЙ РЕСПУБЛИКАНСКИЙ</w:t>
            </w:r>
          </w:p>
          <w:p w:rsidR="0011077F" w:rsidRPr="00EC7F87" w:rsidRDefault="0011077F" w:rsidP="00700057">
            <w:pPr>
              <w:pStyle w:val="1"/>
              <w:jc w:val="center"/>
              <w:rPr>
                <w:lang w:val="ru-RU"/>
              </w:rPr>
            </w:pPr>
            <w:r w:rsidRPr="00EC7F87">
              <w:rPr>
                <w:lang w:val="ru-RU"/>
              </w:rPr>
              <w:t>БАНК</w:t>
            </w:r>
          </w:p>
          <w:p w:rsidR="00943C00" w:rsidRPr="00EC7F87" w:rsidRDefault="00943C00" w:rsidP="00943C00"/>
        </w:tc>
      </w:tr>
    </w:tbl>
    <w:p w:rsidR="0052019E" w:rsidRPr="00EC7F87" w:rsidRDefault="0052019E" w:rsidP="004E0CEE">
      <w:pPr>
        <w:jc w:val="center"/>
        <w:rPr>
          <w:sz w:val="24"/>
          <w:szCs w:val="24"/>
        </w:rPr>
      </w:pPr>
    </w:p>
    <w:p w:rsidR="0011077F" w:rsidRPr="00EC7F87" w:rsidRDefault="0011077F" w:rsidP="004E0CEE">
      <w:pPr>
        <w:jc w:val="center"/>
        <w:rPr>
          <w:sz w:val="24"/>
          <w:szCs w:val="24"/>
        </w:rPr>
      </w:pPr>
      <w:r w:rsidRPr="00EC7F87">
        <w:rPr>
          <w:sz w:val="24"/>
          <w:szCs w:val="24"/>
        </w:rPr>
        <w:t>УКАЗАНИЕ</w:t>
      </w:r>
    </w:p>
    <w:p w:rsidR="00CE3B22" w:rsidRPr="00EC7F87" w:rsidRDefault="00CE3B22" w:rsidP="004E0CEE">
      <w:pPr>
        <w:jc w:val="center"/>
        <w:rPr>
          <w:sz w:val="24"/>
          <w:szCs w:val="24"/>
        </w:rPr>
      </w:pPr>
      <w:bookmarkStart w:id="0" w:name="_GoBack"/>
      <w:bookmarkEnd w:id="0"/>
    </w:p>
    <w:p w:rsidR="000C326C" w:rsidRPr="00EC7F87" w:rsidRDefault="007B06C8" w:rsidP="004E0CEE">
      <w:pPr>
        <w:jc w:val="center"/>
        <w:rPr>
          <w:sz w:val="24"/>
          <w:szCs w:val="24"/>
        </w:rPr>
      </w:pPr>
      <w:r w:rsidRPr="00EC7F87">
        <w:rPr>
          <w:sz w:val="24"/>
          <w:szCs w:val="24"/>
        </w:rPr>
        <w:t>Об особенностях осуществления валютного контроля</w:t>
      </w:r>
      <w:r w:rsidR="004B1C57" w:rsidRPr="00EC7F87">
        <w:rPr>
          <w:sz w:val="24"/>
          <w:szCs w:val="24"/>
        </w:rPr>
        <w:t xml:space="preserve"> при</w:t>
      </w:r>
    </w:p>
    <w:p w:rsidR="004B1C57" w:rsidRPr="00EC7F87" w:rsidRDefault="004B1C57" w:rsidP="004E0CEE">
      <w:pPr>
        <w:jc w:val="center"/>
        <w:rPr>
          <w:sz w:val="24"/>
          <w:szCs w:val="24"/>
        </w:rPr>
      </w:pPr>
      <w:r w:rsidRPr="00EC7F87">
        <w:rPr>
          <w:sz w:val="24"/>
          <w:szCs w:val="24"/>
        </w:rPr>
        <w:t>изменении способа исполнения обязательств по внешнеэкономическим сделкам</w:t>
      </w:r>
    </w:p>
    <w:p w:rsidR="004B1C57" w:rsidRPr="00EC7F87" w:rsidRDefault="004B1C57" w:rsidP="004E0CEE">
      <w:pPr>
        <w:jc w:val="center"/>
        <w:rPr>
          <w:sz w:val="24"/>
          <w:szCs w:val="24"/>
        </w:rPr>
      </w:pPr>
    </w:p>
    <w:p w:rsidR="00DE5AA2" w:rsidRPr="00310A2C" w:rsidRDefault="00DE5AA2" w:rsidP="00DE5AA2">
      <w:pPr>
        <w:jc w:val="center"/>
        <w:rPr>
          <w:sz w:val="24"/>
          <w:szCs w:val="24"/>
        </w:rPr>
      </w:pPr>
      <w:r w:rsidRPr="00310A2C">
        <w:rPr>
          <w:sz w:val="24"/>
          <w:szCs w:val="24"/>
        </w:rPr>
        <w:t>Утверждено Решением правления</w:t>
      </w:r>
    </w:p>
    <w:p w:rsidR="00DE5AA2" w:rsidRPr="00310A2C" w:rsidRDefault="00DE5AA2" w:rsidP="00DE5AA2">
      <w:pPr>
        <w:jc w:val="center"/>
        <w:rPr>
          <w:sz w:val="24"/>
          <w:szCs w:val="24"/>
        </w:rPr>
      </w:pPr>
      <w:r w:rsidRPr="00310A2C">
        <w:rPr>
          <w:sz w:val="24"/>
          <w:szCs w:val="24"/>
        </w:rPr>
        <w:t>Приднестровского республиканского банка</w:t>
      </w:r>
    </w:p>
    <w:p w:rsidR="0011077F" w:rsidRPr="00EC7F87" w:rsidRDefault="00DE5AA2" w:rsidP="00DE5AA2">
      <w:pPr>
        <w:jc w:val="center"/>
        <w:rPr>
          <w:sz w:val="24"/>
          <w:szCs w:val="24"/>
        </w:rPr>
      </w:pPr>
      <w:r w:rsidRPr="00310A2C">
        <w:rPr>
          <w:sz w:val="24"/>
          <w:szCs w:val="24"/>
        </w:rPr>
        <w:t>Протокол № 06 от 21 февраля 2023 года</w:t>
      </w:r>
    </w:p>
    <w:p w:rsidR="00D93734" w:rsidRPr="00EC7F87" w:rsidRDefault="00D93734" w:rsidP="004E0CEE">
      <w:pPr>
        <w:jc w:val="center"/>
        <w:rPr>
          <w:sz w:val="24"/>
          <w:szCs w:val="24"/>
        </w:rPr>
      </w:pPr>
    </w:p>
    <w:p w:rsidR="0011077F" w:rsidRPr="00EC7F87" w:rsidRDefault="0011077F" w:rsidP="004E0CEE">
      <w:pPr>
        <w:jc w:val="center"/>
        <w:rPr>
          <w:sz w:val="24"/>
          <w:szCs w:val="24"/>
        </w:rPr>
      </w:pPr>
      <w:r w:rsidRPr="00EC7F87">
        <w:rPr>
          <w:sz w:val="24"/>
          <w:szCs w:val="24"/>
        </w:rPr>
        <w:t>Зарегистрировано Министерством юстиции</w:t>
      </w:r>
    </w:p>
    <w:p w:rsidR="0011077F" w:rsidRPr="00EC7F87" w:rsidRDefault="0011077F" w:rsidP="004E0CEE">
      <w:pPr>
        <w:jc w:val="center"/>
        <w:rPr>
          <w:sz w:val="24"/>
          <w:szCs w:val="24"/>
        </w:rPr>
      </w:pPr>
      <w:r w:rsidRPr="00EC7F87">
        <w:rPr>
          <w:sz w:val="24"/>
          <w:szCs w:val="24"/>
        </w:rPr>
        <w:t>Приднестровской Молдавской Республики</w:t>
      </w:r>
      <w:r w:rsidR="00DE5AA2">
        <w:rPr>
          <w:sz w:val="24"/>
          <w:szCs w:val="24"/>
        </w:rPr>
        <w:t xml:space="preserve"> 7 марта 2023</w:t>
      </w:r>
    </w:p>
    <w:p w:rsidR="00AA78FA" w:rsidRPr="00EC7F87" w:rsidRDefault="00AA78FA" w:rsidP="004E0CEE">
      <w:pPr>
        <w:jc w:val="center"/>
        <w:rPr>
          <w:sz w:val="24"/>
          <w:szCs w:val="24"/>
        </w:rPr>
      </w:pPr>
      <w:r w:rsidRPr="00EC7F87">
        <w:rPr>
          <w:sz w:val="24"/>
          <w:szCs w:val="24"/>
        </w:rPr>
        <w:t xml:space="preserve">Регистрационный </w:t>
      </w:r>
      <w:r w:rsidR="00EA6C85" w:rsidRPr="00EC7F87">
        <w:rPr>
          <w:sz w:val="24"/>
          <w:szCs w:val="24"/>
        </w:rPr>
        <w:t>№</w:t>
      </w:r>
      <w:r w:rsidR="00DE5AA2">
        <w:rPr>
          <w:sz w:val="24"/>
          <w:szCs w:val="24"/>
        </w:rPr>
        <w:t> 11586</w:t>
      </w:r>
    </w:p>
    <w:p w:rsidR="00703B37" w:rsidRPr="00EC7F87" w:rsidRDefault="00703B37" w:rsidP="004E0CEE">
      <w:pPr>
        <w:jc w:val="center"/>
        <w:rPr>
          <w:sz w:val="24"/>
          <w:szCs w:val="24"/>
        </w:rPr>
      </w:pPr>
    </w:p>
    <w:p w:rsidR="00A5725B" w:rsidRPr="00EC7F87" w:rsidRDefault="008A2671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</w:t>
      </w:r>
      <w:r w:rsidR="00490FB5" w:rsidRPr="00EC7F87">
        <w:rPr>
          <w:sz w:val="24"/>
          <w:szCs w:val="24"/>
        </w:rPr>
        <w:t>№</w:t>
      </w:r>
      <w:r w:rsidR="00D03B6C" w:rsidRPr="00EC7F87">
        <w:rPr>
          <w:sz w:val="24"/>
          <w:szCs w:val="24"/>
        </w:rPr>
        <w:t> </w:t>
      </w:r>
      <w:r w:rsidRPr="00EC7F87">
        <w:rPr>
          <w:sz w:val="24"/>
          <w:szCs w:val="24"/>
        </w:rPr>
        <w:t xml:space="preserve">212-З-IV «О центральном банке </w:t>
      </w:r>
      <w:r w:rsidRPr="00EC7F87">
        <w:rPr>
          <w:sz w:val="24"/>
          <w:szCs w:val="24"/>
        </w:rPr>
        <w:lastRenderedPageBreak/>
        <w:t>Приднестровской Молдавской Республики» (САЗ 07-20), Законом Приднестровской Молдавской Республики от 6 июня 1995 года «О валютном регулировании и валютном контроле» (СЗМР 95</w:t>
      </w:r>
      <w:r w:rsidR="00490FB5" w:rsidRPr="00EC7F87">
        <w:rPr>
          <w:sz w:val="24"/>
          <w:szCs w:val="24"/>
        </w:rPr>
        <w:noBreakHyphen/>
      </w:r>
      <w:r w:rsidRPr="00EC7F87">
        <w:rPr>
          <w:sz w:val="24"/>
          <w:szCs w:val="24"/>
        </w:rPr>
        <w:t xml:space="preserve">2) </w:t>
      </w:r>
      <w:r w:rsidR="004D3513" w:rsidRPr="00EC7F87">
        <w:rPr>
          <w:sz w:val="24"/>
          <w:szCs w:val="24"/>
        </w:rPr>
        <w:t>и устанавливает</w:t>
      </w:r>
      <w:r w:rsidR="00AD4A5E" w:rsidRPr="00EC7F87">
        <w:rPr>
          <w:sz w:val="24"/>
          <w:szCs w:val="24"/>
        </w:rPr>
        <w:t xml:space="preserve"> </w:t>
      </w:r>
      <w:r w:rsidR="00D63978" w:rsidRPr="00EC7F87">
        <w:rPr>
          <w:sz w:val="24"/>
          <w:szCs w:val="24"/>
        </w:rPr>
        <w:t xml:space="preserve">случаи и </w:t>
      </w:r>
      <w:r w:rsidR="00AD4A5E" w:rsidRPr="00EC7F87">
        <w:rPr>
          <w:sz w:val="24"/>
          <w:szCs w:val="24"/>
        </w:rPr>
        <w:t xml:space="preserve">порядок </w:t>
      </w:r>
      <w:r w:rsidR="00D63978" w:rsidRPr="00EC7F87">
        <w:rPr>
          <w:sz w:val="24"/>
          <w:szCs w:val="24"/>
        </w:rPr>
        <w:t xml:space="preserve">подтверждения </w:t>
      </w:r>
      <w:r w:rsidR="005C6A7F" w:rsidRPr="00EC7F87">
        <w:rPr>
          <w:sz w:val="24"/>
          <w:szCs w:val="24"/>
        </w:rPr>
        <w:t xml:space="preserve">хозяйствующими субъектами - </w:t>
      </w:r>
      <w:r w:rsidR="00616C7A" w:rsidRPr="00EC7F87">
        <w:rPr>
          <w:sz w:val="24"/>
          <w:szCs w:val="24"/>
        </w:rPr>
        <w:t>резидентами</w:t>
      </w:r>
      <w:r w:rsidR="0082074D" w:rsidRPr="00EC7F87">
        <w:rPr>
          <w:sz w:val="24"/>
          <w:szCs w:val="24"/>
        </w:rPr>
        <w:t xml:space="preserve"> репатриации валютных средств при экспорте товаров, работ, услуг из Приднестровской Молдавской Республики, а также ввоза товаров при импорте в Приднестровскую Молдавскую Республику в счет ранее перечисленных средств, экспортированных (отгруженных) товаров, выполненных работ, оказанных услуг для выполнения договоров (контрактов) с субъектами хозяйственной деятельности других государств</w:t>
      </w:r>
      <w:r w:rsidR="005C6A7F" w:rsidRPr="00EC7F87">
        <w:rPr>
          <w:sz w:val="24"/>
          <w:szCs w:val="24"/>
        </w:rPr>
        <w:t xml:space="preserve"> </w:t>
      </w:r>
      <w:r w:rsidR="0082074D" w:rsidRPr="00EC7F87">
        <w:rPr>
          <w:sz w:val="24"/>
          <w:szCs w:val="24"/>
        </w:rPr>
        <w:t>способом, не предусмотренным подпунктами 1)</w:t>
      </w:r>
      <w:r w:rsidR="004E0CEE" w:rsidRPr="00EC7F87">
        <w:rPr>
          <w:sz w:val="24"/>
          <w:szCs w:val="24"/>
        </w:rPr>
        <w:t xml:space="preserve"> </w:t>
      </w:r>
      <w:r w:rsidR="0082074D" w:rsidRPr="00EC7F87">
        <w:rPr>
          <w:sz w:val="24"/>
          <w:szCs w:val="24"/>
        </w:rPr>
        <w:t>-</w:t>
      </w:r>
      <w:r w:rsidR="004E0CEE" w:rsidRPr="00EC7F87">
        <w:rPr>
          <w:sz w:val="24"/>
          <w:szCs w:val="24"/>
        </w:rPr>
        <w:t xml:space="preserve"> </w:t>
      </w:r>
      <w:r w:rsidR="0082074D" w:rsidRPr="00EC7F87">
        <w:rPr>
          <w:sz w:val="24"/>
          <w:szCs w:val="24"/>
        </w:rPr>
        <w:t>4) подпункта в) пункта 2 статьи 13 Закона Приднестровской Молдавской Республики от 6 июня 1995 года «О валютном регулировании и валютном контроле» (СЗМР 95</w:t>
      </w:r>
      <w:r w:rsidR="0082074D" w:rsidRPr="00EC7F87">
        <w:rPr>
          <w:sz w:val="24"/>
          <w:szCs w:val="24"/>
        </w:rPr>
        <w:noBreakHyphen/>
        <w:t xml:space="preserve">2), </w:t>
      </w:r>
      <w:r w:rsidR="00A5725B" w:rsidRPr="00EC7F87">
        <w:rPr>
          <w:sz w:val="24"/>
          <w:szCs w:val="24"/>
        </w:rPr>
        <w:t xml:space="preserve">обусловленные ограничениями перемещения товаров либо </w:t>
      </w:r>
      <w:r w:rsidR="00301C70" w:rsidRPr="00EC7F87">
        <w:rPr>
          <w:sz w:val="24"/>
          <w:szCs w:val="24"/>
        </w:rPr>
        <w:t>проведения иностранными банками</w:t>
      </w:r>
      <w:r w:rsidR="00B23C2D" w:rsidRPr="00EC7F87">
        <w:rPr>
          <w:sz w:val="24"/>
          <w:szCs w:val="24"/>
        </w:rPr>
        <w:noBreakHyphen/>
      </w:r>
      <w:r w:rsidR="00A5725B" w:rsidRPr="00EC7F87">
        <w:rPr>
          <w:sz w:val="24"/>
          <w:szCs w:val="24"/>
        </w:rPr>
        <w:t>корреспондентами платежей в пользу или по поручению хозяйствующих субъектов - резидентов.</w:t>
      </w:r>
    </w:p>
    <w:p w:rsidR="00492E38" w:rsidRPr="00EC7F87" w:rsidRDefault="00492E38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1. В целях настоящего Указания под внешнеэкономическими сделками следует понимать сделки, предусматривающие получение </w:t>
      </w:r>
      <w:r w:rsidR="00F7003F" w:rsidRPr="00EC7F87">
        <w:rPr>
          <w:sz w:val="24"/>
          <w:szCs w:val="24"/>
        </w:rPr>
        <w:t xml:space="preserve">хозяйствующим субъектом – резидентом (далее – хозяйствующий субъект) </w:t>
      </w:r>
      <w:r w:rsidRPr="00EC7F87">
        <w:rPr>
          <w:sz w:val="24"/>
          <w:szCs w:val="24"/>
        </w:rPr>
        <w:t>на свои счета экспортной валютной выручки при осуществлении экспорта товаров</w:t>
      </w:r>
      <w:r w:rsidR="00D67BD6" w:rsidRPr="00EC7F87">
        <w:rPr>
          <w:sz w:val="24"/>
          <w:szCs w:val="24"/>
        </w:rPr>
        <w:t>, работ, услуг</w:t>
      </w:r>
      <w:r w:rsidRPr="00EC7F87">
        <w:rPr>
          <w:sz w:val="24"/>
          <w:szCs w:val="24"/>
        </w:rPr>
        <w:t xml:space="preserve"> из Приднестровской Молдавской Республики, возврат в Приднестровскую Молдавскую Республику в установленный срок авансовых платежей за неосуществленный импорт или ввоз импортных товаров, выполнение работ, оказание услуг в счет ранее перечисленных средств</w:t>
      </w:r>
      <w:r w:rsidR="00F66CFF" w:rsidRPr="00EC7F87">
        <w:rPr>
          <w:sz w:val="24"/>
          <w:szCs w:val="24"/>
        </w:rPr>
        <w:t>,</w:t>
      </w:r>
      <w:r w:rsidR="00D67BD6" w:rsidRPr="00EC7F87">
        <w:rPr>
          <w:sz w:val="24"/>
          <w:szCs w:val="24"/>
        </w:rPr>
        <w:t xml:space="preserve"> </w:t>
      </w:r>
      <w:r w:rsidR="00F66CFF" w:rsidRPr="00EC7F87">
        <w:rPr>
          <w:sz w:val="24"/>
          <w:szCs w:val="24"/>
        </w:rPr>
        <w:t>экспортированных (отгруженных) товаров, выполненных работ, оказанных услуг</w:t>
      </w:r>
      <w:r w:rsidR="00D67BD6" w:rsidRPr="00EC7F87">
        <w:rPr>
          <w:sz w:val="24"/>
          <w:szCs w:val="24"/>
        </w:rPr>
        <w:t>.</w:t>
      </w:r>
    </w:p>
    <w:p w:rsidR="00757202" w:rsidRPr="00EC7F87" w:rsidRDefault="003E4D5E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lastRenderedPageBreak/>
        <w:t>2. При невозможности подтверждения хозяйствующим субъектом репатриации валютных средств при экспорте товаров, работ, услуг из Приднестровской Молдавской Республики, а также ввоза товаров при импорте в Приднестровскую Молдавскую Республику в счет ранее перечисленных средств, экспортированных (отгруженных) товаров, выполненных работ, оказанных услуг для выполнения договоров (контрактов) с субъектами хозяйственной деятельности других государств в порядке, предусмотренном Инструкцией Приднестровского республиканского банка от 24 августа 2018 года № 37-И «О порядке осуществления валютного контроля за репатриацией валютных средств при экспорте товаров из Приднестровской Молдавской Республики» (регистрационный № 8540 от 3 октября 2018 года) (САЗ 18-40) либо Инструкцией Приднестровского республиканского банка от 9 июля 2010 года № 31-И «О порядке осуществления валютного контроля за платежами в иностранной валюте в пользу нерезидентов» (регистрационный №</w:t>
      </w:r>
      <w:r w:rsidR="002A2CA4">
        <w:rPr>
          <w:sz w:val="24"/>
          <w:szCs w:val="24"/>
        </w:rPr>
        <w:t> </w:t>
      </w:r>
      <w:r w:rsidRPr="00EC7F87">
        <w:rPr>
          <w:sz w:val="24"/>
          <w:szCs w:val="24"/>
        </w:rPr>
        <w:t>5385 от 15 сентября 2010 года) (САЗ 10-37), хозяйствующий субъект вправе обратиться в центральный банк Приднестровской Молдавской Республики (далее – центральный банк) для подтверждения репатриации валютных средств, ввоза товаров, выполнения работ, оказания услуг или возврата авансовых платежей за неосуществленный импорт в следующих случаях: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а) </w:t>
      </w:r>
      <w:r w:rsidR="00933FD1" w:rsidRPr="00EC7F87">
        <w:rPr>
          <w:sz w:val="24"/>
          <w:szCs w:val="24"/>
        </w:rPr>
        <w:t>поступление</w:t>
      </w:r>
      <w:r w:rsidRPr="00EC7F87">
        <w:rPr>
          <w:sz w:val="24"/>
          <w:szCs w:val="24"/>
        </w:rPr>
        <w:t xml:space="preserve"> валютной выручки по внешнеэкономическому договору, предусматривающему экспорт товаров, если </w:t>
      </w:r>
      <w:r w:rsidR="00E24B9F" w:rsidRPr="00EC7F87">
        <w:rPr>
          <w:sz w:val="24"/>
          <w:szCs w:val="24"/>
        </w:rPr>
        <w:t>хозяйствующим субъектом</w:t>
      </w:r>
      <w:r w:rsidRPr="00EC7F87">
        <w:rPr>
          <w:sz w:val="24"/>
          <w:szCs w:val="24"/>
        </w:rPr>
        <w:t xml:space="preserve"> передано право требования по нему другому </w:t>
      </w:r>
      <w:r w:rsidR="00E24B9F" w:rsidRPr="00EC7F87">
        <w:rPr>
          <w:sz w:val="24"/>
          <w:szCs w:val="24"/>
        </w:rPr>
        <w:t>хозяйствующ</w:t>
      </w:r>
      <w:r w:rsidR="005D37F8" w:rsidRPr="00EC7F87">
        <w:rPr>
          <w:sz w:val="24"/>
          <w:szCs w:val="24"/>
        </w:rPr>
        <w:t>е</w:t>
      </w:r>
      <w:r w:rsidR="00E24B9F" w:rsidRPr="00EC7F87">
        <w:rPr>
          <w:sz w:val="24"/>
          <w:szCs w:val="24"/>
        </w:rPr>
        <w:t>м</w:t>
      </w:r>
      <w:r w:rsidR="005D37F8" w:rsidRPr="00EC7F87">
        <w:rPr>
          <w:sz w:val="24"/>
          <w:szCs w:val="24"/>
        </w:rPr>
        <w:t>у с</w:t>
      </w:r>
      <w:r w:rsidR="00E24B9F" w:rsidRPr="00EC7F87">
        <w:rPr>
          <w:sz w:val="24"/>
          <w:szCs w:val="24"/>
        </w:rPr>
        <w:t>убъект</w:t>
      </w:r>
      <w:r w:rsidR="005D37F8" w:rsidRPr="00EC7F87">
        <w:rPr>
          <w:sz w:val="24"/>
          <w:szCs w:val="24"/>
        </w:rPr>
        <w:t>у</w:t>
      </w:r>
      <w:r w:rsidRPr="00EC7F87">
        <w:rPr>
          <w:sz w:val="24"/>
          <w:szCs w:val="24"/>
        </w:rPr>
        <w:t>, не являющемуся стороной внешнеэкономического договора;</w:t>
      </w:r>
    </w:p>
    <w:p w:rsidR="006369AD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lastRenderedPageBreak/>
        <w:t xml:space="preserve">б) </w:t>
      </w:r>
      <w:r w:rsidR="006369AD" w:rsidRPr="00EC7F87">
        <w:rPr>
          <w:sz w:val="24"/>
          <w:szCs w:val="24"/>
        </w:rPr>
        <w:t>исполнение обязательств по внешнеэкономическому договору, предусматривающему импорт товаров, осуществлено нерезидентом, не являющимся стороной этого внешнеэкономического договора;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в) </w:t>
      </w:r>
      <w:r w:rsidR="006369AD" w:rsidRPr="00EC7F87">
        <w:rPr>
          <w:sz w:val="24"/>
          <w:szCs w:val="24"/>
        </w:rPr>
        <w:t>исполнение обязательства нерезидента по одному внешнеэкономическому договору, предусматривающему импорт товаров, посредством поставки товаров по другому внешнеэкономическому договору с этим же нерезидентом, предусматривающему импорт товаров, относящихся к тому же разделу товарной номенклатуры, применяемой при осуществлении внешнеэкономической деятельности;</w:t>
      </w:r>
    </w:p>
    <w:p w:rsidR="006369AD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г) </w:t>
      </w:r>
      <w:r w:rsidR="006369AD" w:rsidRPr="00EC7F87">
        <w:rPr>
          <w:sz w:val="24"/>
          <w:szCs w:val="24"/>
        </w:rPr>
        <w:t>исполнение обязательств по внешнеэкономическому договору, предусматривающему экспорт товаров, одного хозяйствующего субъекта посредством поставки товаров по внешнеэкономическому договору, предусматривающему импорт товаров, другого хозяйствующего субъекта;</w:t>
      </w:r>
    </w:p>
    <w:p w:rsidR="005D37F8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д) </w:t>
      </w:r>
      <w:r w:rsidR="006369AD" w:rsidRPr="00EC7F87">
        <w:rPr>
          <w:sz w:val="24"/>
          <w:szCs w:val="24"/>
        </w:rPr>
        <w:t>иные случаи осуществления репатриации валютных средств при экспорте товаров, работ, услуг, а также ввоза товаров при импорте в счет ранее перечисленных средств, экспортированных (отгруженных) товаров, выполненных работ, оказанных услуг для выполнения договоров (контрактов) с субъектами хозяйственной деятельности других государств способом, не предусмотренным подпунктами 1) - 4) подпункта в) пункта 2 статьи 13 Закона Приднестровской Молдавской Республики от 6 июня 1995 года «О валютном регулировании и валютном контроле» (СЗМР 95</w:t>
      </w:r>
      <w:r w:rsidR="006369AD" w:rsidRPr="00EC7F87">
        <w:rPr>
          <w:sz w:val="24"/>
          <w:szCs w:val="24"/>
        </w:rPr>
        <w:noBreakHyphen/>
        <w:t>2).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3. </w:t>
      </w:r>
      <w:r w:rsidR="003E4D5E" w:rsidRPr="00EC7F87">
        <w:rPr>
          <w:sz w:val="24"/>
          <w:szCs w:val="24"/>
        </w:rPr>
        <w:t>Центральный банк</w:t>
      </w:r>
      <w:r w:rsidRPr="00EC7F87">
        <w:rPr>
          <w:sz w:val="24"/>
          <w:szCs w:val="24"/>
        </w:rPr>
        <w:t xml:space="preserve"> рассматривает обращения хозяйствующих субъектов для подтверждения репатриации валютных средств, ввоза товаров, выполнения работ, оказания услуг или возврата авансовых платежей за неосуществленный импорт на </w:t>
      </w:r>
      <w:r w:rsidRPr="00EC7F87">
        <w:rPr>
          <w:sz w:val="24"/>
          <w:szCs w:val="24"/>
        </w:rPr>
        <w:lastRenderedPageBreak/>
        <w:t>основании заявления, которое составляется хозяйствующим субъектом в произвольной форме и должно содержать следующие сведения: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а) краткое описание причины изменения способа исполнения нерезидентами обязательств по внешнеэкономической сделке; 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б) номера, даты, первоначальные суммы и суммы незакрытого остатка документов валютного контроля, по которым есть подтверждение о том, что репатриация осуществлена иным способом; 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в) номера электронных таможенных деклараций, подтверждающих в установленном порядке импорт товаров, в случаях, когда таможенное декларирование производится в электронной форме; 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г) перечень прилагаемых к заявлению документов;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д) контактный телефон, фамилию, имя, отчество (при наличии) уполномоченного лица;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е) подпись и расшифровку подписи руководителя (индивидуального предпринимателя) хозяйствующего субъекта, оттиск печати хозяйствующего субъекта (при наличии).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4. К заявлению должны быть приложены следующие документы: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а) копии первоначальных внешнеэкономических договоров и</w:t>
      </w:r>
      <w:r w:rsidR="00A5725B" w:rsidRPr="00EC7F87">
        <w:rPr>
          <w:sz w:val="24"/>
          <w:szCs w:val="24"/>
        </w:rPr>
        <w:t xml:space="preserve"> </w:t>
      </w:r>
      <w:r w:rsidRPr="00EC7F87">
        <w:rPr>
          <w:sz w:val="24"/>
          <w:szCs w:val="24"/>
        </w:rPr>
        <w:t>иных соглашений, отражающих изменения условий указанных договоров.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Допускается предоставление хозяйствующим субъектом указанных в настоящем подпункте копий документов в электронном виде в адрес центрально банка по электронной почте </w:t>
      </w:r>
      <w:hyperlink r:id="rId9" w:history="1">
        <w:r w:rsidR="0094709E" w:rsidRPr="00CF4D71">
          <w:rPr>
            <w:rStyle w:val="ad"/>
            <w:sz w:val="24"/>
            <w:szCs w:val="24"/>
          </w:rPr>
          <w:t>info@cbpmr.net</w:t>
        </w:r>
      </w:hyperlink>
      <w:r w:rsidRPr="00EC7F87">
        <w:rPr>
          <w:sz w:val="24"/>
          <w:szCs w:val="24"/>
        </w:rPr>
        <w:t>. В случае предоставления документов в элек</w:t>
      </w:r>
      <w:r w:rsidRPr="00EC7F87">
        <w:rPr>
          <w:sz w:val="24"/>
          <w:szCs w:val="24"/>
        </w:rPr>
        <w:lastRenderedPageBreak/>
        <w:t xml:space="preserve">тронном виде отсканированные оригиналы документов (все страницы соответствующего документа) должны быть предоставлены в формате PDF. При этом в заявлении должно быть указано название соответствующего файла (файлов), отправленного (отправленных) по указанному адресу электронной почты. В электронном сообщении должна быть ссылка на номер и дату заявления; 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б) копии документов, подтверждающих поступление денежных средств на счет хозяйствующего субъекта и</w:t>
      </w:r>
      <w:r w:rsidR="003E4D5E" w:rsidRPr="00EC7F87">
        <w:rPr>
          <w:sz w:val="24"/>
          <w:szCs w:val="24"/>
        </w:rPr>
        <w:t xml:space="preserve"> (</w:t>
      </w:r>
      <w:r w:rsidRPr="00EC7F87">
        <w:rPr>
          <w:sz w:val="24"/>
          <w:szCs w:val="24"/>
        </w:rPr>
        <w:t>или</w:t>
      </w:r>
      <w:r w:rsidR="003E4D5E" w:rsidRPr="00EC7F87">
        <w:rPr>
          <w:sz w:val="24"/>
          <w:szCs w:val="24"/>
        </w:rPr>
        <w:t>)</w:t>
      </w:r>
      <w:r w:rsidRPr="00EC7F87">
        <w:rPr>
          <w:sz w:val="24"/>
          <w:szCs w:val="24"/>
        </w:rPr>
        <w:t xml:space="preserve"> копии документов, подтверждающих импорт товаров (если они оформлены на бумажном носителе), выполнение работ, оказание услуг;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в) справка банка экспортера об использовании платежных документов и</w:t>
      </w:r>
      <w:r w:rsidR="003E4D5E" w:rsidRPr="00EC7F87">
        <w:rPr>
          <w:sz w:val="24"/>
          <w:szCs w:val="24"/>
        </w:rPr>
        <w:t xml:space="preserve"> (</w:t>
      </w:r>
      <w:r w:rsidRPr="00EC7F87">
        <w:rPr>
          <w:sz w:val="24"/>
          <w:szCs w:val="24"/>
        </w:rPr>
        <w:t>или</w:t>
      </w:r>
      <w:r w:rsidR="003E4D5E" w:rsidRPr="00EC7F87">
        <w:rPr>
          <w:sz w:val="24"/>
          <w:szCs w:val="24"/>
        </w:rPr>
        <w:t>)</w:t>
      </w:r>
      <w:r w:rsidRPr="00EC7F87">
        <w:rPr>
          <w:sz w:val="24"/>
          <w:szCs w:val="24"/>
        </w:rPr>
        <w:t xml:space="preserve"> справки из банка импортера об использовании документов, подтверждающих импорт, для закрытия документов валютного контроля</w:t>
      </w:r>
      <w:r w:rsidR="003E4D5E" w:rsidRPr="00EC7F87">
        <w:rPr>
          <w:sz w:val="24"/>
          <w:szCs w:val="24"/>
        </w:rPr>
        <w:t>.</w:t>
      </w:r>
    </w:p>
    <w:p w:rsidR="006949CC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5. Прилагаемые к заявлению копии документов, указанные в подпунктах а) и б) пункта 4 настоящего Указания</w:t>
      </w:r>
      <w:r w:rsidR="003E4D5E" w:rsidRPr="00EC7F87">
        <w:rPr>
          <w:sz w:val="24"/>
          <w:szCs w:val="24"/>
        </w:rPr>
        <w:t>,</w:t>
      </w:r>
      <w:r w:rsidRPr="00EC7F87">
        <w:rPr>
          <w:sz w:val="24"/>
          <w:szCs w:val="24"/>
        </w:rPr>
        <w:t xml:space="preserve"> должны быть заверены подписью руководителя (индивидуального предпринимателя) и оттиском печати (при наличии) хозяйствующего субъекта. </w:t>
      </w:r>
    </w:p>
    <w:p w:rsidR="003E4D5E" w:rsidRPr="00EC7F87" w:rsidRDefault="003E4D5E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6. В случае отсутствия в представленных хозяйствующим субъектом документах информации, подтверждающей репатриацию валютных средств, ввоз товаров, выполнение работ, оказание услуг или возврат авансовых платежей за неосуществленный импорт, центральный банк запрашивает у хозяйствующего субъекта дополнительную информацию, подтверждающую репатриацию валютных средств, ввоз товаров, выполнение работ, оказание услуг или возврат авансовых платежей </w:t>
      </w:r>
      <w:r w:rsidRPr="00EC7F87">
        <w:rPr>
          <w:sz w:val="24"/>
          <w:szCs w:val="24"/>
        </w:rPr>
        <w:lastRenderedPageBreak/>
        <w:t>за неосуществленный импорт, в том числе нотариально удостоверенный перевод документов на иностранном языке на русский язык.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 xml:space="preserve">7. Центральный банк проверяет соответствие содержащейся в заявлении информации представленным документам. 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8. При предоставлении неполного пакета документов или при несоответствии представленного пакета документов требованиям настоящего Указания, а также при наличии в заявлении и</w:t>
      </w:r>
      <w:r w:rsidR="003E4D5E" w:rsidRPr="00EC7F87">
        <w:rPr>
          <w:sz w:val="24"/>
          <w:szCs w:val="24"/>
        </w:rPr>
        <w:t xml:space="preserve"> (</w:t>
      </w:r>
      <w:r w:rsidRPr="00EC7F87">
        <w:rPr>
          <w:sz w:val="24"/>
          <w:szCs w:val="24"/>
        </w:rPr>
        <w:t>или</w:t>
      </w:r>
      <w:r w:rsidR="003E4D5E" w:rsidRPr="00EC7F87">
        <w:rPr>
          <w:sz w:val="24"/>
          <w:szCs w:val="24"/>
        </w:rPr>
        <w:t>)</w:t>
      </w:r>
      <w:r w:rsidRPr="00EC7F87">
        <w:rPr>
          <w:sz w:val="24"/>
          <w:szCs w:val="24"/>
        </w:rPr>
        <w:t xml:space="preserve"> в приложенных к заявлению документах противоречащих или не соответствующих действительности сведений, центральный банк направляет заявителю мотивированный отказ.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9. Центральный банк рассматривает представленные документы в течение</w:t>
      </w:r>
      <w:r w:rsidR="000C0BAF" w:rsidRPr="00EC7F87">
        <w:t xml:space="preserve"> </w:t>
      </w:r>
      <w:r w:rsidR="000C0BAF" w:rsidRPr="00EC7F87">
        <w:rPr>
          <w:sz w:val="24"/>
          <w:szCs w:val="24"/>
        </w:rPr>
        <w:t>3 (трех)</w:t>
      </w:r>
      <w:r w:rsidRPr="00EC7F87">
        <w:rPr>
          <w:sz w:val="24"/>
          <w:szCs w:val="24"/>
        </w:rPr>
        <w:t xml:space="preserve"> рабочих дней с момента представления всех документов, необходимых для принятия решения.</w:t>
      </w:r>
    </w:p>
    <w:p w:rsidR="003E4D5E" w:rsidRPr="00EC7F87" w:rsidRDefault="003E4D5E" w:rsidP="004E0CEE">
      <w:pPr>
        <w:ind w:firstLine="284"/>
        <w:jc w:val="both"/>
        <w:rPr>
          <w:sz w:val="24"/>
          <w:szCs w:val="24"/>
        </w:rPr>
      </w:pPr>
      <w:r w:rsidRPr="00EC7F87">
        <w:rPr>
          <w:sz w:val="24"/>
          <w:szCs w:val="24"/>
        </w:rPr>
        <w:t>10. В случае принятия положительного решения по конкретным заявлениям центральный банк письменно доводит данную информацию до сведения хозяйствующего субъекта и банка экспортера (импортера) о принятом решении. Одновременно банку экспортера (импортера) направляется информация (реквизиты документа, первоначальная сумма, сумма, использованная для подтверждения репатриации) по платежным документам (документам, подтверждающим импорт</w:t>
      </w:r>
      <w:r w:rsidR="00EC7F87" w:rsidRPr="00EC7F87">
        <w:rPr>
          <w:sz w:val="24"/>
          <w:szCs w:val="24"/>
        </w:rPr>
        <w:t>)</w:t>
      </w:r>
      <w:r w:rsidRPr="00EC7F87">
        <w:rPr>
          <w:sz w:val="24"/>
          <w:szCs w:val="24"/>
        </w:rPr>
        <w:t>, которые впоследствии не могут быть использованы для закрытия документов валютного контроля.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  <w:bookmarkStart w:id="1" w:name="Пункт9"/>
      <w:r w:rsidRPr="00EC7F87">
        <w:rPr>
          <w:sz w:val="24"/>
          <w:szCs w:val="24"/>
        </w:rPr>
        <w:t xml:space="preserve">11. Настоящее Указание вступает в силу </w:t>
      </w:r>
      <w:r w:rsidR="00620977" w:rsidRPr="00EC7F87">
        <w:rPr>
          <w:sz w:val="24"/>
          <w:szCs w:val="24"/>
        </w:rPr>
        <w:t xml:space="preserve">со дня, </w:t>
      </w:r>
      <w:r w:rsidR="009578BE" w:rsidRPr="00EC7F87">
        <w:rPr>
          <w:sz w:val="24"/>
          <w:szCs w:val="24"/>
        </w:rPr>
        <w:t>следующ</w:t>
      </w:r>
      <w:r w:rsidR="00620977" w:rsidRPr="00EC7F87">
        <w:rPr>
          <w:sz w:val="24"/>
          <w:szCs w:val="24"/>
        </w:rPr>
        <w:t xml:space="preserve">его за днем </w:t>
      </w:r>
      <w:r w:rsidRPr="00EC7F87">
        <w:rPr>
          <w:sz w:val="24"/>
          <w:szCs w:val="24"/>
        </w:rPr>
        <w:t xml:space="preserve">официального опубликования. </w:t>
      </w:r>
    </w:p>
    <w:p w:rsidR="00954913" w:rsidRPr="00EC7F87" w:rsidRDefault="00954913" w:rsidP="004E0CEE">
      <w:pPr>
        <w:ind w:firstLine="284"/>
        <w:jc w:val="both"/>
        <w:rPr>
          <w:sz w:val="24"/>
          <w:szCs w:val="24"/>
        </w:rPr>
      </w:pPr>
    </w:p>
    <w:tbl>
      <w:tblPr>
        <w:tblW w:w="4891" w:type="pct"/>
        <w:tblLook w:val="0000" w:firstRow="0" w:lastRow="0" w:firstColumn="0" w:lastColumn="0" w:noHBand="0" w:noVBand="0"/>
      </w:tblPr>
      <w:tblGrid>
        <w:gridCol w:w="4473"/>
        <w:gridCol w:w="4677"/>
      </w:tblGrid>
      <w:tr w:rsidR="00954913" w:rsidRPr="00EC7F87" w:rsidTr="00130D0B">
        <w:trPr>
          <w:trHeight w:val="345"/>
        </w:trPr>
        <w:tc>
          <w:tcPr>
            <w:tcW w:w="2444" w:type="pct"/>
          </w:tcPr>
          <w:bookmarkEnd w:id="1"/>
          <w:p w:rsidR="00954913" w:rsidRPr="00EC7F87" w:rsidRDefault="00954913" w:rsidP="00B23C2D">
            <w:pPr>
              <w:rPr>
                <w:sz w:val="24"/>
                <w:szCs w:val="24"/>
              </w:rPr>
            </w:pPr>
            <w:r w:rsidRPr="00EC7F87">
              <w:rPr>
                <w:sz w:val="24"/>
                <w:szCs w:val="24"/>
              </w:rPr>
              <w:lastRenderedPageBreak/>
              <w:t>Председатель банка</w:t>
            </w:r>
          </w:p>
        </w:tc>
        <w:tc>
          <w:tcPr>
            <w:tcW w:w="2556" w:type="pct"/>
          </w:tcPr>
          <w:p w:rsidR="00954913" w:rsidRPr="00EC7F87" w:rsidRDefault="0094709E" w:rsidP="000B59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913" w:rsidRPr="00EC7F87">
              <w:rPr>
                <w:sz w:val="24"/>
                <w:szCs w:val="24"/>
              </w:rPr>
              <w:t xml:space="preserve">В. </w:t>
            </w:r>
            <w:r w:rsidR="000B5920" w:rsidRPr="00EC7F87">
              <w:rPr>
                <w:sz w:val="24"/>
                <w:szCs w:val="24"/>
              </w:rPr>
              <w:t>ТИДВА</w:t>
            </w:r>
          </w:p>
        </w:tc>
      </w:tr>
    </w:tbl>
    <w:p w:rsidR="00954913" w:rsidRPr="00EC7F87" w:rsidRDefault="00954913" w:rsidP="00954913">
      <w:pPr>
        <w:ind w:firstLine="284"/>
        <w:jc w:val="both"/>
        <w:rPr>
          <w:sz w:val="24"/>
          <w:szCs w:val="24"/>
        </w:rPr>
      </w:pPr>
    </w:p>
    <w:p w:rsidR="00DE5AA2" w:rsidRPr="00310A2C" w:rsidRDefault="00DE5AA2" w:rsidP="0094709E">
      <w:pPr>
        <w:ind w:right="6802"/>
        <w:rPr>
          <w:sz w:val="24"/>
          <w:szCs w:val="24"/>
        </w:rPr>
      </w:pPr>
      <w:r w:rsidRPr="00310A2C">
        <w:rPr>
          <w:sz w:val="24"/>
          <w:szCs w:val="24"/>
        </w:rPr>
        <w:t>г. Тирасполь</w:t>
      </w:r>
    </w:p>
    <w:p w:rsidR="00DE5AA2" w:rsidRPr="00310A2C" w:rsidRDefault="00DE5AA2" w:rsidP="0094709E">
      <w:pPr>
        <w:ind w:right="6802"/>
        <w:rPr>
          <w:sz w:val="24"/>
          <w:szCs w:val="24"/>
        </w:rPr>
      </w:pPr>
      <w:r w:rsidRPr="00310A2C">
        <w:rPr>
          <w:sz w:val="24"/>
          <w:szCs w:val="24"/>
        </w:rPr>
        <w:t>21 февраля 2023 года</w:t>
      </w:r>
    </w:p>
    <w:p w:rsidR="00DE5AA2" w:rsidRDefault="00DE5AA2" w:rsidP="0094709E">
      <w:pPr>
        <w:ind w:right="6802"/>
        <w:rPr>
          <w:sz w:val="24"/>
          <w:szCs w:val="24"/>
        </w:rPr>
      </w:pPr>
      <w:r w:rsidRPr="00310A2C">
        <w:rPr>
          <w:sz w:val="24"/>
          <w:szCs w:val="24"/>
        </w:rPr>
        <w:t>№ 1458-У</w:t>
      </w:r>
    </w:p>
    <w:sectPr w:rsidR="00DE5AA2" w:rsidSect="00BB2842">
      <w:headerReference w:type="first" r:id="rId10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B3" w:rsidRDefault="008855B3" w:rsidP="002414BB">
      <w:r>
        <w:separator/>
      </w:r>
    </w:p>
    <w:p w:rsidR="008855B3" w:rsidRDefault="008855B3"/>
  </w:endnote>
  <w:endnote w:type="continuationSeparator" w:id="0">
    <w:p w:rsidR="008855B3" w:rsidRDefault="008855B3" w:rsidP="002414BB">
      <w:r>
        <w:continuationSeparator/>
      </w:r>
    </w:p>
    <w:p w:rsidR="008855B3" w:rsidRDefault="00885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B3" w:rsidRDefault="008855B3" w:rsidP="002414BB">
      <w:r>
        <w:separator/>
      </w:r>
    </w:p>
    <w:p w:rsidR="008855B3" w:rsidRDefault="008855B3"/>
  </w:footnote>
  <w:footnote w:type="continuationSeparator" w:id="0">
    <w:p w:rsidR="008855B3" w:rsidRDefault="008855B3" w:rsidP="002414BB">
      <w:r>
        <w:continuationSeparator/>
      </w:r>
    </w:p>
    <w:p w:rsidR="008855B3" w:rsidRDefault="00885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122486"/>
      <w:docPartObj>
        <w:docPartGallery w:val="Page Numbers (Top of Page)"/>
        <w:docPartUnique/>
      </w:docPartObj>
    </w:sdtPr>
    <w:sdtEndPr/>
    <w:sdtContent>
      <w:p w:rsidR="008A2671" w:rsidRDefault="0077198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671" w:rsidRDefault="008A2671"/>
  <w:p w:rsidR="00F2790C" w:rsidRDefault="00F279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376"/>
    <w:multiLevelType w:val="hybridMultilevel"/>
    <w:tmpl w:val="723AAA52"/>
    <w:lvl w:ilvl="0" w:tplc="D4EAC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CB4CE6"/>
    <w:multiLevelType w:val="hybridMultilevel"/>
    <w:tmpl w:val="8FD0B29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F"/>
    <w:rsid w:val="000124C4"/>
    <w:rsid w:val="000150B1"/>
    <w:rsid w:val="0002256C"/>
    <w:rsid w:val="000225A1"/>
    <w:rsid w:val="00025E8E"/>
    <w:rsid w:val="00041B15"/>
    <w:rsid w:val="0004622E"/>
    <w:rsid w:val="000471EA"/>
    <w:rsid w:val="0005033C"/>
    <w:rsid w:val="000630CB"/>
    <w:rsid w:val="00063BF5"/>
    <w:rsid w:val="00067F8D"/>
    <w:rsid w:val="00070EAD"/>
    <w:rsid w:val="00075598"/>
    <w:rsid w:val="00077557"/>
    <w:rsid w:val="00081EBE"/>
    <w:rsid w:val="00081F01"/>
    <w:rsid w:val="000842F5"/>
    <w:rsid w:val="00086CFC"/>
    <w:rsid w:val="00094EFA"/>
    <w:rsid w:val="0009695D"/>
    <w:rsid w:val="000B5920"/>
    <w:rsid w:val="000B61CD"/>
    <w:rsid w:val="000C0BAF"/>
    <w:rsid w:val="000C1A27"/>
    <w:rsid w:val="000C2717"/>
    <w:rsid w:val="000C28C9"/>
    <w:rsid w:val="000C326C"/>
    <w:rsid w:val="000E3BBB"/>
    <w:rsid w:val="000E4646"/>
    <w:rsid w:val="000E4790"/>
    <w:rsid w:val="000E4B6F"/>
    <w:rsid w:val="000E4CEA"/>
    <w:rsid w:val="000F09D4"/>
    <w:rsid w:val="000F0F9C"/>
    <w:rsid w:val="000F252C"/>
    <w:rsid w:val="000F3ACA"/>
    <w:rsid w:val="0010019C"/>
    <w:rsid w:val="0010212B"/>
    <w:rsid w:val="0010466A"/>
    <w:rsid w:val="0011077F"/>
    <w:rsid w:val="00110D63"/>
    <w:rsid w:val="00111BF4"/>
    <w:rsid w:val="001134B7"/>
    <w:rsid w:val="00114814"/>
    <w:rsid w:val="001176EB"/>
    <w:rsid w:val="00120871"/>
    <w:rsid w:val="00121739"/>
    <w:rsid w:val="00130034"/>
    <w:rsid w:val="00130D0B"/>
    <w:rsid w:val="00131A5C"/>
    <w:rsid w:val="00135D8E"/>
    <w:rsid w:val="001363BA"/>
    <w:rsid w:val="00142F1B"/>
    <w:rsid w:val="00147951"/>
    <w:rsid w:val="00151C86"/>
    <w:rsid w:val="0016057A"/>
    <w:rsid w:val="00161006"/>
    <w:rsid w:val="00162B61"/>
    <w:rsid w:val="00175517"/>
    <w:rsid w:val="00180AE4"/>
    <w:rsid w:val="001A2E3D"/>
    <w:rsid w:val="001A60F9"/>
    <w:rsid w:val="001B65B0"/>
    <w:rsid w:val="001C1595"/>
    <w:rsid w:val="001D0D61"/>
    <w:rsid w:val="001E1A82"/>
    <w:rsid w:val="001E3021"/>
    <w:rsid w:val="001E38AF"/>
    <w:rsid w:val="001F0F1C"/>
    <w:rsid w:val="001F4DCC"/>
    <w:rsid w:val="001F5D52"/>
    <w:rsid w:val="00202FA2"/>
    <w:rsid w:val="002119DB"/>
    <w:rsid w:val="00220788"/>
    <w:rsid w:val="00227DBF"/>
    <w:rsid w:val="00231304"/>
    <w:rsid w:val="00231D53"/>
    <w:rsid w:val="00232611"/>
    <w:rsid w:val="002326CB"/>
    <w:rsid w:val="00237448"/>
    <w:rsid w:val="00240CB3"/>
    <w:rsid w:val="002414BB"/>
    <w:rsid w:val="00247C1B"/>
    <w:rsid w:val="00257478"/>
    <w:rsid w:val="0026607F"/>
    <w:rsid w:val="00267F41"/>
    <w:rsid w:val="002706CE"/>
    <w:rsid w:val="00281767"/>
    <w:rsid w:val="002822AA"/>
    <w:rsid w:val="002A2CA4"/>
    <w:rsid w:val="002A3BD4"/>
    <w:rsid w:val="002A43FA"/>
    <w:rsid w:val="002A7916"/>
    <w:rsid w:val="002B3C32"/>
    <w:rsid w:val="002C0358"/>
    <w:rsid w:val="002C393B"/>
    <w:rsid w:val="002C7A4E"/>
    <w:rsid w:val="002D4018"/>
    <w:rsid w:val="002D5143"/>
    <w:rsid w:val="002D7886"/>
    <w:rsid w:val="002E18D4"/>
    <w:rsid w:val="002E5FB6"/>
    <w:rsid w:val="002E78CE"/>
    <w:rsid w:val="00300C55"/>
    <w:rsid w:val="00301C70"/>
    <w:rsid w:val="003031F6"/>
    <w:rsid w:val="003051DD"/>
    <w:rsid w:val="00312B4F"/>
    <w:rsid w:val="00325C1C"/>
    <w:rsid w:val="00327B8C"/>
    <w:rsid w:val="0033021D"/>
    <w:rsid w:val="00334781"/>
    <w:rsid w:val="00337585"/>
    <w:rsid w:val="003461EE"/>
    <w:rsid w:val="00350FA6"/>
    <w:rsid w:val="00355158"/>
    <w:rsid w:val="00361404"/>
    <w:rsid w:val="00366909"/>
    <w:rsid w:val="00367DF0"/>
    <w:rsid w:val="00372373"/>
    <w:rsid w:val="00377963"/>
    <w:rsid w:val="00380EEA"/>
    <w:rsid w:val="00383D4A"/>
    <w:rsid w:val="00393776"/>
    <w:rsid w:val="003942E7"/>
    <w:rsid w:val="00397A2F"/>
    <w:rsid w:val="003A0DF3"/>
    <w:rsid w:val="003A27A7"/>
    <w:rsid w:val="003A32E8"/>
    <w:rsid w:val="003A4465"/>
    <w:rsid w:val="003A4A75"/>
    <w:rsid w:val="003B1376"/>
    <w:rsid w:val="003B2944"/>
    <w:rsid w:val="003C256E"/>
    <w:rsid w:val="003C2F73"/>
    <w:rsid w:val="003D3D60"/>
    <w:rsid w:val="003D7541"/>
    <w:rsid w:val="003E4D5E"/>
    <w:rsid w:val="003E71B2"/>
    <w:rsid w:val="003F167B"/>
    <w:rsid w:val="003F1A4D"/>
    <w:rsid w:val="003F1AEE"/>
    <w:rsid w:val="003F4F42"/>
    <w:rsid w:val="003F5229"/>
    <w:rsid w:val="00400C60"/>
    <w:rsid w:val="00407CC6"/>
    <w:rsid w:val="00412ECF"/>
    <w:rsid w:val="00413F5C"/>
    <w:rsid w:val="00422060"/>
    <w:rsid w:val="00423B68"/>
    <w:rsid w:val="00424E8F"/>
    <w:rsid w:val="00442064"/>
    <w:rsid w:val="00451987"/>
    <w:rsid w:val="00457647"/>
    <w:rsid w:val="0046639B"/>
    <w:rsid w:val="00470F40"/>
    <w:rsid w:val="00482FAC"/>
    <w:rsid w:val="00490FB5"/>
    <w:rsid w:val="00492E38"/>
    <w:rsid w:val="004932A4"/>
    <w:rsid w:val="004A006C"/>
    <w:rsid w:val="004A3287"/>
    <w:rsid w:val="004A5A7F"/>
    <w:rsid w:val="004B017F"/>
    <w:rsid w:val="004B14E7"/>
    <w:rsid w:val="004B1C57"/>
    <w:rsid w:val="004B2DF1"/>
    <w:rsid w:val="004B4A8C"/>
    <w:rsid w:val="004B63DE"/>
    <w:rsid w:val="004B6601"/>
    <w:rsid w:val="004C4A30"/>
    <w:rsid w:val="004D1F0B"/>
    <w:rsid w:val="004D3513"/>
    <w:rsid w:val="004D71BC"/>
    <w:rsid w:val="004E0CEE"/>
    <w:rsid w:val="004E2602"/>
    <w:rsid w:val="004E55C3"/>
    <w:rsid w:val="004E59A1"/>
    <w:rsid w:val="004F5331"/>
    <w:rsid w:val="004F78EE"/>
    <w:rsid w:val="00500527"/>
    <w:rsid w:val="005041F2"/>
    <w:rsid w:val="005045E6"/>
    <w:rsid w:val="00507EA9"/>
    <w:rsid w:val="005104B6"/>
    <w:rsid w:val="00511558"/>
    <w:rsid w:val="00512FC7"/>
    <w:rsid w:val="00514F5E"/>
    <w:rsid w:val="0052019E"/>
    <w:rsid w:val="00521CCF"/>
    <w:rsid w:val="00523192"/>
    <w:rsid w:val="00536837"/>
    <w:rsid w:val="00541806"/>
    <w:rsid w:val="005428CA"/>
    <w:rsid w:val="00543566"/>
    <w:rsid w:val="00544019"/>
    <w:rsid w:val="00550410"/>
    <w:rsid w:val="00550519"/>
    <w:rsid w:val="005529F0"/>
    <w:rsid w:val="005608FD"/>
    <w:rsid w:val="00561A61"/>
    <w:rsid w:val="005643DB"/>
    <w:rsid w:val="005704D5"/>
    <w:rsid w:val="00577595"/>
    <w:rsid w:val="00577C0D"/>
    <w:rsid w:val="005876D8"/>
    <w:rsid w:val="005912BA"/>
    <w:rsid w:val="00593E6C"/>
    <w:rsid w:val="00597A86"/>
    <w:rsid w:val="005A55CC"/>
    <w:rsid w:val="005A7D77"/>
    <w:rsid w:val="005B0669"/>
    <w:rsid w:val="005B7500"/>
    <w:rsid w:val="005B75B1"/>
    <w:rsid w:val="005C07E4"/>
    <w:rsid w:val="005C1A14"/>
    <w:rsid w:val="005C6A7F"/>
    <w:rsid w:val="005D1FA4"/>
    <w:rsid w:val="005D37F8"/>
    <w:rsid w:val="005D49F4"/>
    <w:rsid w:val="005D4CAD"/>
    <w:rsid w:val="005E1AF3"/>
    <w:rsid w:val="005E5E5D"/>
    <w:rsid w:val="005F30FE"/>
    <w:rsid w:val="006032E8"/>
    <w:rsid w:val="006125EB"/>
    <w:rsid w:val="00616C7A"/>
    <w:rsid w:val="00620977"/>
    <w:rsid w:val="00621405"/>
    <w:rsid w:val="00622E9B"/>
    <w:rsid w:val="00623D07"/>
    <w:rsid w:val="0063081B"/>
    <w:rsid w:val="006369AD"/>
    <w:rsid w:val="00641DE8"/>
    <w:rsid w:val="00644C94"/>
    <w:rsid w:val="006461B6"/>
    <w:rsid w:val="00650806"/>
    <w:rsid w:val="00652719"/>
    <w:rsid w:val="006544E7"/>
    <w:rsid w:val="0065761B"/>
    <w:rsid w:val="006636A2"/>
    <w:rsid w:val="00663AC1"/>
    <w:rsid w:val="00664C4E"/>
    <w:rsid w:val="0067215A"/>
    <w:rsid w:val="00682A9F"/>
    <w:rsid w:val="006845FE"/>
    <w:rsid w:val="00684C8A"/>
    <w:rsid w:val="00686537"/>
    <w:rsid w:val="00692843"/>
    <w:rsid w:val="006931DB"/>
    <w:rsid w:val="00693B8A"/>
    <w:rsid w:val="006949CC"/>
    <w:rsid w:val="00694D60"/>
    <w:rsid w:val="006A1972"/>
    <w:rsid w:val="006A5083"/>
    <w:rsid w:val="006A5714"/>
    <w:rsid w:val="006A75DE"/>
    <w:rsid w:val="006B3128"/>
    <w:rsid w:val="006B3492"/>
    <w:rsid w:val="006B3845"/>
    <w:rsid w:val="006B3A49"/>
    <w:rsid w:val="006C32D1"/>
    <w:rsid w:val="006D2F21"/>
    <w:rsid w:val="006D430D"/>
    <w:rsid w:val="006D4850"/>
    <w:rsid w:val="006E1B9A"/>
    <w:rsid w:val="006E5293"/>
    <w:rsid w:val="006F0F90"/>
    <w:rsid w:val="006F516E"/>
    <w:rsid w:val="006F57CA"/>
    <w:rsid w:val="00700057"/>
    <w:rsid w:val="00702518"/>
    <w:rsid w:val="00703B37"/>
    <w:rsid w:val="007171EE"/>
    <w:rsid w:val="007207EA"/>
    <w:rsid w:val="00724295"/>
    <w:rsid w:val="00725485"/>
    <w:rsid w:val="00726BE9"/>
    <w:rsid w:val="00727A1C"/>
    <w:rsid w:val="00731C34"/>
    <w:rsid w:val="00755A90"/>
    <w:rsid w:val="00755B53"/>
    <w:rsid w:val="007567B3"/>
    <w:rsid w:val="00757202"/>
    <w:rsid w:val="00757CC6"/>
    <w:rsid w:val="0076013C"/>
    <w:rsid w:val="00760832"/>
    <w:rsid w:val="00765FD9"/>
    <w:rsid w:val="00766B37"/>
    <w:rsid w:val="0077086D"/>
    <w:rsid w:val="00771986"/>
    <w:rsid w:val="00776602"/>
    <w:rsid w:val="00784B94"/>
    <w:rsid w:val="00791D0E"/>
    <w:rsid w:val="00793EE1"/>
    <w:rsid w:val="007A2F27"/>
    <w:rsid w:val="007A731A"/>
    <w:rsid w:val="007A7F23"/>
    <w:rsid w:val="007B06C8"/>
    <w:rsid w:val="007B5A21"/>
    <w:rsid w:val="007B680F"/>
    <w:rsid w:val="007C57EF"/>
    <w:rsid w:val="007D5E26"/>
    <w:rsid w:val="007D5E89"/>
    <w:rsid w:val="007D7079"/>
    <w:rsid w:val="007E66BF"/>
    <w:rsid w:val="0080521C"/>
    <w:rsid w:val="0081414E"/>
    <w:rsid w:val="00814161"/>
    <w:rsid w:val="008143D2"/>
    <w:rsid w:val="00814459"/>
    <w:rsid w:val="0082074D"/>
    <w:rsid w:val="00820F41"/>
    <w:rsid w:val="00825A16"/>
    <w:rsid w:val="008314EB"/>
    <w:rsid w:val="0083361A"/>
    <w:rsid w:val="008344D0"/>
    <w:rsid w:val="00835594"/>
    <w:rsid w:val="00841D28"/>
    <w:rsid w:val="008449A7"/>
    <w:rsid w:val="00845231"/>
    <w:rsid w:val="00861CBF"/>
    <w:rsid w:val="00864DC2"/>
    <w:rsid w:val="00872623"/>
    <w:rsid w:val="0087506A"/>
    <w:rsid w:val="0087629D"/>
    <w:rsid w:val="00876501"/>
    <w:rsid w:val="008812E9"/>
    <w:rsid w:val="00883047"/>
    <w:rsid w:val="008855B3"/>
    <w:rsid w:val="00885C7A"/>
    <w:rsid w:val="008A14B9"/>
    <w:rsid w:val="008A2671"/>
    <w:rsid w:val="008A34F3"/>
    <w:rsid w:val="008A401D"/>
    <w:rsid w:val="008B01C6"/>
    <w:rsid w:val="008B0214"/>
    <w:rsid w:val="008B22CE"/>
    <w:rsid w:val="008B40E6"/>
    <w:rsid w:val="008B4D3F"/>
    <w:rsid w:val="008B5106"/>
    <w:rsid w:val="008C3B49"/>
    <w:rsid w:val="008C4CB0"/>
    <w:rsid w:val="008C51B5"/>
    <w:rsid w:val="008D5920"/>
    <w:rsid w:val="008E4C8E"/>
    <w:rsid w:val="008E5561"/>
    <w:rsid w:val="008F2D36"/>
    <w:rsid w:val="008F3847"/>
    <w:rsid w:val="008F4800"/>
    <w:rsid w:val="008F5C48"/>
    <w:rsid w:val="009017AD"/>
    <w:rsid w:val="00914A33"/>
    <w:rsid w:val="00915041"/>
    <w:rsid w:val="009208F2"/>
    <w:rsid w:val="00930435"/>
    <w:rsid w:val="00933FD1"/>
    <w:rsid w:val="00943C00"/>
    <w:rsid w:val="0094709E"/>
    <w:rsid w:val="00950C9D"/>
    <w:rsid w:val="00954913"/>
    <w:rsid w:val="009578BE"/>
    <w:rsid w:val="00957D51"/>
    <w:rsid w:val="00960BE7"/>
    <w:rsid w:val="0096455C"/>
    <w:rsid w:val="0096563E"/>
    <w:rsid w:val="0097196D"/>
    <w:rsid w:val="00977C61"/>
    <w:rsid w:val="00980CBB"/>
    <w:rsid w:val="0099009A"/>
    <w:rsid w:val="00992AFF"/>
    <w:rsid w:val="00997848"/>
    <w:rsid w:val="009B07E7"/>
    <w:rsid w:val="009B368F"/>
    <w:rsid w:val="009C2BD3"/>
    <w:rsid w:val="009C3E7E"/>
    <w:rsid w:val="009C40EC"/>
    <w:rsid w:val="009D7FB8"/>
    <w:rsid w:val="009E50B1"/>
    <w:rsid w:val="009F0FF2"/>
    <w:rsid w:val="009F11DC"/>
    <w:rsid w:val="009F534C"/>
    <w:rsid w:val="00A00C21"/>
    <w:rsid w:val="00A058D5"/>
    <w:rsid w:val="00A13805"/>
    <w:rsid w:val="00A1431E"/>
    <w:rsid w:val="00A16309"/>
    <w:rsid w:val="00A16435"/>
    <w:rsid w:val="00A30619"/>
    <w:rsid w:val="00A3262A"/>
    <w:rsid w:val="00A50192"/>
    <w:rsid w:val="00A5022F"/>
    <w:rsid w:val="00A5681A"/>
    <w:rsid w:val="00A5725B"/>
    <w:rsid w:val="00A64093"/>
    <w:rsid w:val="00A642D2"/>
    <w:rsid w:val="00A739DF"/>
    <w:rsid w:val="00A767EF"/>
    <w:rsid w:val="00A910D5"/>
    <w:rsid w:val="00A952BB"/>
    <w:rsid w:val="00A956B8"/>
    <w:rsid w:val="00A96897"/>
    <w:rsid w:val="00A96AD6"/>
    <w:rsid w:val="00AA78FA"/>
    <w:rsid w:val="00AB3E5B"/>
    <w:rsid w:val="00AC1079"/>
    <w:rsid w:val="00AC4557"/>
    <w:rsid w:val="00AC55F0"/>
    <w:rsid w:val="00AC5F5A"/>
    <w:rsid w:val="00AD4A5E"/>
    <w:rsid w:val="00AE0456"/>
    <w:rsid w:val="00AE1D6B"/>
    <w:rsid w:val="00AE7864"/>
    <w:rsid w:val="00AE7DE7"/>
    <w:rsid w:val="00AF4E7D"/>
    <w:rsid w:val="00B010A5"/>
    <w:rsid w:val="00B03B31"/>
    <w:rsid w:val="00B135F3"/>
    <w:rsid w:val="00B22A4D"/>
    <w:rsid w:val="00B23C2D"/>
    <w:rsid w:val="00B23DB0"/>
    <w:rsid w:val="00B25509"/>
    <w:rsid w:val="00B2587B"/>
    <w:rsid w:val="00B42488"/>
    <w:rsid w:val="00B53F66"/>
    <w:rsid w:val="00B6326E"/>
    <w:rsid w:val="00B85806"/>
    <w:rsid w:val="00B94CD8"/>
    <w:rsid w:val="00B960AF"/>
    <w:rsid w:val="00BA31A3"/>
    <w:rsid w:val="00BA3497"/>
    <w:rsid w:val="00BA4086"/>
    <w:rsid w:val="00BA75DA"/>
    <w:rsid w:val="00BB1B09"/>
    <w:rsid w:val="00BB2842"/>
    <w:rsid w:val="00BB31B4"/>
    <w:rsid w:val="00BB3830"/>
    <w:rsid w:val="00BC04D2"/>
    <w:rsid w:val="00BC41F3"/>
    <w:rsid w:val="00BC6C12"/>
    <w:rsid w:val="00BC6E9B"/>
    <w:rsid w:val="00BD1ADC"/>
    <w:rsid w:val="00BE4ADC"/>
    <w:rsid w:val="00BE5D8C"/>
    <w:rsid w:val="00BF2D12"/>
    <w:rsid w:val="00BF44C8"/>
    <w:rsid w:val="00BF62A8"/>
    <w:rsid w:val="00C0416D"/>
    <w:rsid w:val="00C04213"/>
    <w:rsid w:val="00C064FC"/>
    <w:rsid w:val="00C22B5E"/>
    <w:rsid w:val="00C23A4D"/>
    <w:rsid w:val="00C24A76"/>
    <w:rsid w:val="00C26FD0"/>
    <w:rsid w:val="00C27D82"/>
    <w:rsid w:val="00C3011C"/>
    <w:rsid w:val="00C358E4"/>
    <w:rsid w:val="00C430AC"/>
    <w:rsid w:val="00C4432E"/>
    <w:rsid w:val="00C445AD"/>
    <w:rsid w:val="00C547BC"/>
    <w:rsid w:val="00C73798"/>
    <w:rsid w:val="00C74BB4"/>
    <w:rsid w:val="00C816F9"/>
    <w:rsid w:val="00C8359D"/>
    <w:rsid w:val="00C84509"/>
    <w:rsid w:val="00C87042"/>
    <w:rsid w:val="00C97E5E"/>
    <w:rsid w:val="00CB2E13"/>
    <w:rsid w:val="00CB777F"/>
    <w:rsid w:val="00CC1536"/>
    <w:rsid w:val="00CC6E7B"/>
    <w:rsid w:val="00CE0047"/>
    <w:rsid w:val="00CE053F"/>
    <w:rsid w:val="00CE3B22"/>
    <w:rsid w:val="00CE4335"/>
    <w:rsid w:val="00CF6A3A"/>
    <w:rsid w:val="00D036DC"/>
    <w:rsid w:val="00D03B6C"/>
    <w:rsid w:val="00D05653"/>
    <w:rsid w:val="00D06D5F"/>
    <w:rsid w:val="00D16CCD"/>
    <w:rsid w:val="00D17ACF"/>
    <w:rsid w:val="00D22AC4"/>
    <w:rsid w:val="00D241C8"/>
    <w:rsid w:val="00D2568E"/>
    <w:rsid w:val="00D316D8"/>
    <w:rsid w:val="00D31BB9"/>
    <w:rsid w:val="00D33AAB"/>
    <w:rsid w:val="00D424FE"/>
    <w:rsid w:val="00D42BB7"/>
    <w:rsid w:val="00D47FB6"/>
    <w:rsid w:val="00D63001"/>
    <w:rsid w:val="00D63978"/>
    <w:rsid w:val="00D65EAA"/>
    <w:rsid w:val="00D67BD6"/>
    <w:rsid w:val="00D71092"/>
    <w:rsid w:val="00D849AA"/>
    <w:rsid w:val="00D93734"/>
    <w:rsid w:val="00D94677"/>
    <w:rsid w:val="00D94EDA"/>
    <w:rsid w:val="00DB054F"/>
    <w:rsid w:val="00DB0590"/>
    <w:rsid w:val="00DB0625"/>
    <w:rsid w:val="00DB1577"/>
    <w:rsid w:val="00DB49DB"/>
    <w:rsid w:val="00DB5BCF"/>
    <w:rsid w:val="00DB773A"/>
    <w:rsid w:val="00DC1B5F"/>
    <w:rsid w:val="00DC31FF"/>
    <w:rsid w:val="00DD55D7"/>
    <w:rsid w:val="00DE5A11"/>
    <w:rsid w:val="00DE5AA2"/>
    <w:rsid w:val="00DE6D00"/>
    <w:rsid w:val="00DF48D5"/>
    <w:rsid w:val="00DF55D1"/>
    <w:rsid w:val="00DF6B54"/>
    <w:rsid w:val="00E04C3F"/>
    <w:rsid w:val="00E10674"/>
    <w:rsid w:val="00E11CE6"/>
    <w:rsid w:val="00E164E2"/>
    <w:rsid w:val="00E24B9F"/>
    <w:rsid w:val="00E32F9C"/>
    <w:rsid w:val="00E351A9"/>
    <w:rsid w:val="00E4798F"/>
    <w:rsid w:val="00E5040A"/>
    <w:rsid w:val="00E55A87"/>
    <w:rsid w:val="00E5610E"/>
    <w:rsid w:val="00E60E48"/>
    <w:rsid w:val="00E653CB"/>
    <w:rsid w:val="00E75BDE"/>
    <w:rsid w:val="00E765C9"/>
    <w:rsid w:val="00E81168"/>
    <w:rsid w:val="00E83FE4"/>
    <w:rsid w:val="00E87E11"/>
    <w:rsid w:val="00E95736"/>
    <w:rsid w:val="00EA1310"/>
    <w:rsid w:val="00EA6C85"/>
    <w:rsid w:val="00EB08DC"/>
    <w:rsid w:val="00EB137B"/>
    <w:rsid w:val="00EB6880"/>
    <w:rsid w:val="00EC02FB"/>
    <w:rsid w:val="00EC7F87"/>
    <w:rsid w:val="00ED402A"/>
    <w:rsid w:val="00ED7CA9"/>
    <w:rsid w:val="00EE7F98"/>
    <w:rsid w:val="00EF0F5E"/>
    <w:rsid w:val="00EF3853"/>
    <w:rsid w:val="00EF4C0C"/>
    <w:rsid w:val="00EF4D7A"/>
    <w:rsid w:val="00F008CF"/>
    <w:rsid w:val="00F00C5D"/>
    <w:rsid w:val="00F02257"/>
    <w:rsid w:val="00F05252"/>
    <w:rsid w:val="00F07D90"/>
    <w:rsid w:val="00F12620"/>
    <w:rsid w:val="00F159D1"/>
    <w:rsid w:val="00F15AA2"/>
    <w:rsid w:val="00F17238"/>
    <w:rsid w:val="00F2450F"/>
    <w:rsid w:val="00F2790C"/>
    <w:rsid w:val="00F35334"/>
    <w:rsid w:val="00F42ED4"/>
    <w:rsid w:val="00F50DC0"/>
    <w:rsid w:val="00F5172B"/>
    <w:rsid w:val="00F56FA7"/>
    <w:rsid w:val="00F5791F"/>
    <w:rsid w:val="00F606F9"/>
    <w:rsid w:val="00F66CFF"/>
    <w:rsid w:val="00F7003F"/>
    <w:rsid w:val="00F75906"/>
    <w:rsid w:val="00F76187"/>
    <w:rsid w:val="00F77C02"/>
    <w:rsid w:val="00F8567A"/>
    <w:rsid w:val="00F861D2"/>
    <w:rsid w:val="00F933F3"/>
    <w:rsid w:val="00F95301"/>
    <w:rsid w:val="00F966C1"/>
    <w:rsid w:val="00FA1B44"/>
    <w:rsid w:val="00FA7C6E"/>
    <w:rsid w:val="00FB3753"/>
    <w:rsid w:val="00FB4143"/>
    <w:rsid w:val="00FB4DDF"/>
    <w:rsid w:val="00FB702A"/>
    <w:rsid w:val="00FC109E"/>
    <w:rsid w:val="00FC68D9"/>
    <w:rsid w:val="00FC6AC6"/>
    <w:rsid w:val="00FC6C39"/>
    <w:rsid w:val="00FD6406"/>
    <w:rsid w:val="00FD7B8B"/>
    <w:rsid w:val="00FE1CE0"/>
    <w:rsid w:val="00FE6597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2F5E6"/>
  <w15:docId w15:val="{5DE8B8F8-B069-415F-B80F-178D032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057"/>
    <w:rPr>
      <w:rFonts w:ascii="Times New Roman" w:eastAsia="Times New Roman" w:hAnsi="Times New Roman"/>
    </w:rPr>
  </w:style>
  <w:style w:type="character" w:styleId="a7">
    <w:name w:val="annotation reference"/>
    <w:basedOn w:val="a0"/>
    <w:uiPriority w:val="99"/>
    <w:semiHidden/>
    <w:unhideWhenUsed/>
    <w:rsid w:val="00BC04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4D2"/>
  </w:style>
  <w:style w:type="character" w:customStyle="1" w:styleId="a9">
    <w:name w:val="Текст примечания Знак"/>
    <w:basedOn w:val="a0"/>
    <w:link w:val="a8"/>
    <w:uiPriority w:val="99"/>
    <w:semiHidden/>
    <w:rsid w:val="00BC04D2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4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04D2"/>
    <w:rPr>
      <w:rFonts w:ascii="Times New Roman" w:eastAsia="Times New Roman" w:hAnsi="Times New Roman"/>
      <w:b/>
      <w:bCs/>
    </w:rPr>
  </w:style>
  <w:style w:type="table" w:styleId="ac">
    <w:name w:val="Table Grid"/>
    <w:basedOn w:val="a1"/>
    <w:uiPriority w:val="59"/>
    <w:rsid w:val="0032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947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bpm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1EAB-F213-4162-B2C2-9DBC615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8182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Links>
    <vt:vector size="24" baseType="variant">
      <vt:variant>
        <vt:i4>75300913</vt:i4>
      </vt:variant>
      <vt:variant>
        <vt:i4>12</vt:i4>
      </vt:variant>
      <vt:variant>
        <vt:i4>0</vt:i4>
      </vt:variant>
      <vt:variant>
        <vt:i4>5</vt:i4>
      </vt:variant>
      <vt:variant>
        <vt:lpwstr>../../../Справочные материалы/Даты САЗов.doc</vt:lpwstr>
      </vt:variant>
      <vt:variant>
        <vt:lpwstr>дветысячидвенадцать19</vt:lpwstr>
      </vt:variant>
      <vt:variant>
        <vt:i4>4916303</vt:i4>
      </vt:variant>
      <vt:variant>
        <vt:i4>9</vt:i4>
      </vt:variant>
      <vt:variant>
        <vt:i4>0</vt:i4>
      </vt:variant>
      <vt:variant>
        <vt:i4>5</vt:i4>
      </vt:variant>
      <vt:variant>
        <vt:lpwstr>../../../Указания/2012/N 540-У от 11.04.2012.doc</vt:lpwstr>
      </vt:variant>
      <vt:variant>
        <vt:lpwstr/>
      </vt:variant>
      <vt:variant>
        <vt:i4>4916303</vt:i4>
      </vt:variant>
      <vt:variant>
        <vt:i4>6</vt:i4>
      </vt:variant>
      <vt:variant>
        <vt:i4>0</vt:i4>
      </vt:variant>
      <vt:variant>
        <vt:i4>5</vt:i4>
      </vt:variant>
      <vt:variant>
        <vt:lpwstr>../../../Указания/2012/N 540-У от 11.04.2012.doc</vt:lpwstr>
      </vt:variant>
      <vt:variant>
        <vt:lpwstr/>
      </vt:variant>
      <vt:variant>
        <vt:i4>4523083</vt:i4>
      </vt:variant>
      <vt:variant>
        <vt:i4>3</vt:i4>
      </vt:variant>
      <vt:variant>
        <vt:i4>0</vt:i4>
      </vt:variant>
      <vt:variant>
        <vt:i4>5</vt:i4>
      </vt:variant>
      <vt:variant>
        <vt:lpwstr>../../../Указания/2011/N 447-У от 29.03.2011.doc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</dc:creator>
  <cp:lastModifiedBy>Кесслер К.Ф.</cp:lastModifiedBy>
  <cp:revision>2</cp:revision>
  <cp:lastPrinted>2023-03-09T07:24:00Z</cp:lastPrinted>
  <dcterms:created xsi:type="dcterms:W3CDTF">2023-03-09T08:27:00Z</dcterms:created>
  <dcterms:modified xsi:type="dcterms:W3CDTF">2023-03-09T08:27:00Z</dcterms:modified>
</cp:coreProperties>
</file>