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000" w:firstRow="0" w:lastRow="0" w:firstColumn="0" w:lastColumn="0" w:noHBand="0" w:noVBand="0"/>
      </w:tblPr>
      <w:tblGrid>
        <w:gridCol w:w="3708"/>
        <w:gridCol w:w="2160"/>
        <w:gridCol w:w="3975"/>
      </w:tblGrid>
      <w:tr w:rsidR="005C3FB7" w:rsidRPr="008D3D11" w:rsidTr="005C3FB7">
        <w:trPr>
          <w:trHeight w:val="1264"/>
        </w:trPr>
        <w:tc>
          <w:tcPr>
            <w:tcW w:w="3708" w:type="dxa"/>
          </w:tcPr>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БАНКА РЕПУБЛИКАНЭ</w:t>
            </w:r>
          </w:p>
          <w:p w:rsidR="005C3FB7" w:rsidRPr="008D3D11" w:rsidRDefault="005C3FB7" w:rsidP="005C3FB7">
            <w:pPr>
              <w:tabs>
                <w:tab w:val="left" w:pos="1134"/>
              </w:tabs>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НИСТРЯНЭ</w:t>
            </w:r>
          </w:p>
          <w:p w:rsidR="005C3FB7" w:rsidRPr="008D3D11" w:rsidRDefault="005C3FB7" w:rsidP="005C3FB7">
            <w:pPr>
              <w:pStyle w:val="a3"/>
              <w:tabs>
                <w:tab w:val="left" w:pos="1134"/>
              </w:tabs>
              <w:rPr>
                <w:b w:val="0"/>
                <w:bCs w:val="0"/>
                <w:sz w:val="24"/>
                <w:szCs w:val="24"/>
                <w:lang w:val="en-US"/>
              </w:rPr>
            </w:pPr>
          </w:p>
        </w:tc>
        <w:tc>
          <w:tcPr>
            <w:tcW w:w="2160" w:type="dxa"/>
          </w:tcPr>
          <w:p w:rsidR="005C3FB7" w:rsidRPr="008D3D11" w:rsidRDefault="005C3FB7" w:rsidP="005C3FB7">
            <w:pPr>
              <w:tabs>
                <w:tab w:val="left" w:pos="1134"/>
              </w:tabs>
              <w:spacing w:after="0" w:line="240" w:lineRule="auto"/>
              <w:jc w:val="center"/>
              <w:rPr>
                <w:rFonts w:ascii="Times New Roman" w:hAnsi="Times New Roman" w:cs="Times New Roman"/>
                <w:b/>
                <w:bCs/>
                <w:sz w:val="24"/>
                <w:szCs w:val="24"/>
                <w:lang w:val="en-US"/>
              </w:rPr>
            </w:pPr>
            <w:r w:rsidRPr="008D3D11">
              <w:rPr>
                <w:rFonts w:ascii="Times New Roman" w:hAnsi="Times New Roman" w:cs="Times New Roman"/>
                <w:b/>
                <w:bCs/>
                <w:noProof/>
                <w:sz w:val="24"/>
                <w:szCs w:val="24"/>
              </w:rPr>
              <w:drawing>
                <wp:inline distT="0" distB="0" distL="0" distR="0">
                  <wp:extent cx="8191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c>
          <w:tcPr>
            <w:tcW w:w="3975" w:type="dxa"/>
          </w:tcPr>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ПРИДНIСТРОВСЬКИЙ</w:t>
            </w: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РЕСПУБЛIКАНСЬКИЙ БАНК</w:t>
            </w:r>
          </w:p>
          <w:p w:rsidR="005C3FB7" w:rsidRPr="008D3D11" w:rsidRDefault="005C3FB7" w:rsidP="005C3FB7">
            <w:pPr>
              <w:tabs>
                <w:tab w:val="left" w:pos="1134"/>
              </w:tabs>
              <w:spacing w:after="0" w:line="240" w:lineRule="auto"/>
              <w:rPr>
                <w:rFonts w:ascii="Times New Roman" w:hAnsi="Times New Roman" w:cs="Times New Roman"/>
                <w:b/>
                <w:bCs/>
                <w:sz w:val="24"/>
                <w:szCs w:val="24"/>
                <w:lang w:val="en-US"/>
              </w:rPr>
            </w:pPr>
          </w:p>
        </w:tc>
      </w:tr>
      <w:tr w:rsidR="005C3FB7" w:rsidRPr="008D3D11" w:rsidTr="005C3FB7">
        <w:trPr>
          <w:cantSplit/>
          <w:trHeight w:val="693"/>
        </w:trPr>
        <w:tc>
          <w:tcPr>
            <w:tcW w:w="9843" w:type="dxa"/>
            <w:gridSpan w:val="3"/>
          </w:tcPr>
          <w:p w:rsidR="002B37CC" w:rsidRPr="008D3D11" w:rsidRDefault="002B37CC" w:rsidP="005C3FB7">
            <w:pPr>
              <w:keepNext/>
              <w:tabs>
                <w:tab w:val="left" w:pos="1134"/>
              </w:tabs>
              <w:spacing w:after="0" w:line="240" w:lineRule="auto"/>
              <w:jc w:val="center"/>
              <w:outlineLvl w:val="0"/>
              <w:rPr>
                <w:rFonts w:ascii="Times New Roman" w:hAnsi="Times New Roman" w:cs="Times New Roman"/>
                <w:sz w:val="20"/>
                <w:szCs w:val="20"/>
              </w:rPr>
            </w:pP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ПРИДНЕСТРОВСКИЙ РЕСПУБЛИКАНСКИЙ</w:t>
            </w: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w:t>
            </w:r>
          </w:p>
        </w:tc>
      </w:tr>
    </w:tbl>
    <w:p w:rsidR="005C3FB7" w:rsidRPr="008D3D11" w:rsidRDefault="005C3FB7" w:rsidP="002E2C24">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jc w:val="center"/>
        <w:rPr>
          <w:rFonts w:ascii="Times New Roman" w:hAnsi="Times New Roman" w:cs="Times New Roman"/>
          <w:sz w:val="24"/>
          <w:szCs w:val="24"/>
        </w:rPr>
      </w:pPr>
      <w:r w:rsidRPr="008D3D11">
        <w:rPr>
          <w:rFonts w:ascii="Times New Roman" w:hAnsi="Times New Roman" w:cs="Times New Roman"/>
          <w:sz w:val="24"/>
          <w:szCs w:val="24"/>
        </w:rPr>
        <w:t>ИНСТРУКЦИЯ</w:t>
      </w:r>
    </w:p>
    <w:p w:rsidR="008979FD" w:rsidRPr="008D3D11" w:rsidRDefault="001965DB" w:rsidP="00EE6146">
      <w:pPr>
        <w:spacing w:after="0" w:line="240" w:lineRule="auto"/>
        <w:jc w:val="center"/>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О </w:t>
      </w:r>
      <w:r w:rsidR="008979FD" w:rsidRPr="008D3D11">
        <w:rPr>
          <w:rFonts w:ascii="Times New Roman" w:eastAsia="Times New Roman" w:hAnsi="Times New Roman" w:cs="Times New Roman"/>
          <w:sz w:val="24"/>
          <w:szCs w:val="24"/>
        </w:rPr>
        <w:t>порядк</w:t>
      </w:r>
      <w:r w:rsidR="001101B1" w:rsidRPr="008D3D11">
        <w:rPr>
          <w:rFonts w:ascii="Times New Roman" w:eastAsia="Times New Roman" w:hAnsi="Times New Roman" w:cs="Times New Roman"/>
          <w:sz w:val="24"/>
          <w:szCs w:val="24"/>
        </w:rPr>
        <w:t>е</w:t>
      </w:r>
      <w:r w:rsidR="002C0474" w:rsidRPr="008D3D11">
        <w:rPr>
          <w:rFonts w:ascii="Times New Roman" w:eastAsia="Times New Roman" w:hAnsi="Times New Roman" w:cs="Times New Roman"/>
          <w:sz w:val="24"/>
          <w:szCs w:val="24"/>
        </w:rPr>
        <w:t xml:space="preserve"> расчета </w:t>
      </w:r>
    </w:p>
    <w:p w:rsidR="008979FD" w:rsidRPr="008D3D11" w:rsidRDefault="008979FD" w:rsidP="00EE6146">
      <w:pPr>
        <w:spacing w:after="0" w:line="240" w:lineRule="auto"/>
        <w:jc w:val="center"/>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стоимости чистых активов страхов</w:t>
      </w:r>
      <w:r w:rsidR="009907E5">
        <w:rPr>
          <w:rFonts w:ascii="Times New Roman" w:eastAsia="Times New Roman" w:hAnsi="Times New Roman" w:cs="Times New Roman"/>
          <w:sz w:val="24"/>
          <w:szCs w:val="24"/>
        </w:rPr>
        <w:t>ой</w:t>
      </w:r>
      <w:r w:rsidRPr="008D3D11">
        <w:rPr>
          <w:rFonts w:ascii="Times New Roman" w:eastAsia="Times New Roman" w:hAnsi="Times New Roman" w:cs="Times New Roman"/>
          <w:sz w:val="24"/>
          <w:szCs w:val="24"/>
        </w:rPr>
        <w:t xml:space="preserve"> организаци</w:t>
      </w:r>
      <w:r w:rsidR="009907E5">
        <w:rPr>
          <w:rFonts w:ascii="Times New Roman" w:eastAsia="Times New Roman" w:hAnsi="Times New Roman" w:cs="Times New Roman"/>
          <w:sz w:val="24"/>
          <w:szCs w:val="24"/>
        </w:rPr>
        <w:t>и</w:t>
      </w:r>
    </w:p>
    <w:p w:rsidR="008979FD" w:rsidRPr="008D3D11" w:rsidRDefault="008979FD" w:rsidP="008979FD">
      <w:pPr>
        <w:spacing w:after="0"/>
        <w:jc w:val="center"/>
        <w:rPr>
          <w:rFonts w:ascii="Times New Roman" w:hAnsi="Times New Roman" w:cs="Times New Roman"/>
          <w:sz w:val="24"/>
          <w:szCs w:val="24"/>
        </w:rPr>
      </w:pP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 xml:space="preserve">Утверждено решением правления </w:t>
      </w: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Приднестровского республиканского банка</w:t>
      </w: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 xml:space="preserve">Протокол N </w:t>
      </w:r>
      <w:r w:rsidR="00475C0A">
        <w:rPr>
          <w:rFonts w:ascii="Times New Roman" w:hAnsi="Times New Roman" w:cs="Times New Roman"/>
          <w:sz w:val="24"/>
          <w:szCs w:val="24"/>
        </w:rPr>
        <w:t>55</w:t>
      </w:r>
      <w:r w:rsidRPr="008D3D11">
        <w:rPr>
          <w:rFonts w:ascii="Times New Roman" w:hAnsi="Times New Roman" w:cs="Times New Roman"/>
          <w:sz w:val="24"/>
          <w:szCs w:val="24"/>
        </w:rPr>
        <w:t xml:space="preserve"> от </w:t>
      </w:r>
      <w:r w:rsidR="00475C0A">
        <w:rPr>
          <w:rFonts w:ascii="Times New Roman" w:hAnsi="Times New Roman" w:cs="Times New Roman"/>
          <w:sz w:val="24"/>
          <w:szCs w:val="24"/>
        </w:rPr>
        <w:t>23 октября</w:t>
      </w:r>
      <w:r w:rsidRPr="008D3D11">
        <w:rPr>
          <w:rFonts w:ascii="Times New Roman" w:hAnsi="Times New Roman" w:cs="Times New Roman"/>
          <w:sz w:val="24"/>
          <w:szCs w:val="24"/>
        </w:rPr>
        <w:t xml:space="preserve"> 2018 года</w:t>
      </w:r>
    </w:p>
    <w:p w:rsidR="005C3FB7" w:rsidRPr="008D3D11" w:rsidRDefault="005C3FB7" w:rsidP="005C3FB7">
      <w:pPr>
        <w:pStyle w:val="a5"/>
        <w:tabs>
          <w:tab w:val="left" w:pos="1134"/>
        </w:tabs>
        <w:spacing w:after="0"/>
        <w:ind w:left="0"/>
        <w:jc w:val="center"/>
        <w:rPr>
          <w:rFonts w:ascii="Times New Roman" w:hAnsi="Times New Roman" w:cs="Times New Roman"/>
          <w:sz w:val="24"/>
          <w:szCs w:val="24"/>
        </w:rPr>
      </w:pPr>
    </w:p>
    <w:p w:rsidR="005C3FB7" w:rsidRPr="008D3D11"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Зарегистрировано Министерством юстиции</w:t>
      </w:r>
    </w:p>
    <w:p w:rsidR="005C3FB7" w:rsidRPr="008D3D11"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 xml:space="preserve">Приднестровской Молдавской Республики </w:t>
      </w:r>
      <w:r w:rsidR="00100F45">
        <w:rPr>
          <w:rFonts w:ascii="Times New Roman" w:hAnsi="Times New Roman" w:cs="Times New Roman"/>
          <w:sz w:val="24"/>
          <w:szCs w:val="24"/>
        </w:rPr>
        <w:t>24</w:t>
      </w:r>
      <w:r w:rsidR="00E25D19" w:rsidRPr="008D3D11">
        <w:rPr>
          <w:rFonts w:ascii="Times New Roman" w:hAnsi="Times New Roman" w:cs="Times New Roman"/>
          <w:sz w:val="24"/>
          <w:szCs w:val="24"/>
        </w:rPr>
        <w:t xml:space="preserve"> </w:t>
      </w:r>
      <w:r w:rsidR="00100F45">
        <w:rPr>
          <w:rFonts w:ascii="Times New Roman" w:hAnsi="Times New Roman" w:cs="Times New Roman"/>
          <w:sz w:val="24"/>
          <w:szCs w:val="24"/>
        </w:rPr>
        <w:t>декабря</w:t>
      </w:r>
      <w:r w:rsidRPr="008D3D11">
        <w:rPr>
          <w:rFonts w:ascii="Times New Roman" w:hAnsi="Times New Roman" w:cs="Times New Roman"/>
          <w:sz w:val="24"/>
          <w:szCs w:val="24"/>
        </w:rPr>
        <w:t xml:space="preserve"> 2018 года</w:t>
      </w:r>
    </w:p>
    <w:p w:rsidR="005C3FB7"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D3D11">
        <w:rPr>
          <w:rFonts w:ascii="Times New Roman" w:hAnsi="Times New Roman" w:cs="Times New Roman"/>
          <w:color w:val="auto"/>
          <w:sz w:val="24"/>
          <w:szCs w:val="24"/>
        </w:rPr>
        <w:t xml:space="preserve">Регистрационный N </w:t>
      </w:r>
      <w:r w:rsidR="00100F45">
        <w:rPr>
          <w:rFonts w:ascii="Times New Roman" w:hAnsi="Times New Roman" w:cs="Times New Roman"/>
          <w:sz w:val="24"/>
          <w:szCs w:val="24"/>
        </w:rPr>
        <w:t>8606</w:t>
      </w:r>
    </w:p>
    <w:p w:rsidR="00166B6E" w:rsidRDefault="00166B6E"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166B6E" w:rsidRDefault="00166B6E"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noProof/>
        </w:rPr>
        <w:drawing>
          <wp:inline distT="0" distB="0" distL="0" distR="0">
            <wp:extent cx="2094421" cy="220247"/>
            <wp:effectExtent l="19050" t="0" r="1079" b="0"/>
            <wp:docPr id="2" name="Рисунок 1"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pic:cNvPicPr>
                      <a:picLocks noChangeAspect="1" noChangeArrowheads="1"/>
                    </pic:cNvPicPr>
                  </pic:nvPicPr>
                  <pic:blipFill>
                    <a:blip r:embed="rId9"/>
                    <a:srcRect/>
                    <a:stretch>
                      <a:fillRect/>
                    </a:stretch>
                  </pic:blipFill>
                  <pic:spPr bwMode="auto">
                    <a:xfrm>
                      <a:off x="0" y="0"/>
                      <a:ext cx="2095598" cy="220371"/>
                    </a:xfrm>
                    <a:prstGeom prst="rect">
                      <a:avLst/>
                    </a:prstGeom>
                    <a:noFill/>
                    <a:ln w="9525">
                      <a:noFill/>
                      <a:miter lim="800000"/>
                      <a:headEnd/>
                      <a:tailEnd/>
                    </a:ln>
                  </pic:spPr>
                </pic:pic>
              </a:graphicData>
            </a:graphic>
          </wp:inline>
        </w:drawing>
      </w:r>
    </w:p>
    <w:p w:rsidR="00D250C0" w:rsidRDefault="00D250C0"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452405" w:rsidRDefault="00D250C0"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Times New Roman" w:hAnsi="Times New Roman" w:cs="Times New Roman"/>
          <w:sz w:val="24"/>
          <w:szCs w:val="24"/>
        </w:rPr>
        <w:t>С изменениями</w:t>
      </w:r>
      <w:r w:rsidRPr="00D250C0">
        <w:rPr>
          <w:rFonts w:ascii="Times New Roman" w:hAnsi="Times New Roman" w:cs="Times New Roman"/>
          <w:sz w:val="24"/>
          <w:szCs w:val="24"/>
        </w:rPr>
        <w:t>,</w:t>
      </w:r>
      <w:r>
        <w:rPr>
          <w:rFonts w:ascii="Times New Roman" w:hAnsi="Times New Roman" w:cs="Times New Roman"/>
          <w:sz w:val="24"/>
          <w:szCs w:val="24"/>
        </w:rPr>
        <w:t xml:space="preserve"> внесёнными указанием </w:t>
      </w:r>
      <w:hyperlink r:id="rId10" w:history="1">
        <w:r>
          <w:rPr>
            <w:rStyle w:val="aa"/>
            <w:rFonts w:ascii="Times New Roman" w:hAnsi="Times New Roman" w:cs="Times New Roman"/>
            <w:sz w:val="24"/>
            <w:szCs w:val="24"/>
          </w:rPr>
          <w:t xml:space="preserve">от 26 апреля 2019 года </w:t>
        </w:r>
        <w:r w:rsidRPr="00D250C0">
          <w:rPr>
            <w:rStyle w:val="aa"/>
            <w:rFonts w:ascii="Times New Roman" w:hAnsi="Times New Roman" w:cs="Times New Roman"/>
            <w:sz w:val="24"/>
            <w:szCs w:val="24"/>
          </w:rPr>
          <w:t>N 1155-У</w:t>
        </w:r>
      </w:hyperlink>
      <w:r w:rsidR="00452405" w:rsidRPr="00452405">
        <w:t>;</w:t>
      </w:r>
    </w:p>
    <w:p w:rsidR="00D250C0" w:rsidRPr="00452405" w:rsidRDefault="00B148EC"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hyperlink r:id="rId11" w:history="1">
        <w:r w:rsidR="00452405">
          <w:rPr>
            <w:rStyle w:val="aa"/>
            <w:rFonts w:ascii="Times New Roman" w:hAnsi="Times New Roman" w:cs="Times New Roman"/>
            <w:sz w:val="24"/>
            <w:szCs w:val="24"/>
          </w:rPr>
          <w:t xml:space="preserve">от 22 августа 2019 года </w:t>
        </w:r>
        <w:r w:rsidR="00452405" w:rsidRPr="00452405">
          <w:rPr>
            <w:rStyle w:val="aa"/>
            <w:rFonts w:ascii="Times New Roman" w:hAnsi="Times New Roman" w:cs="Times New Roman"/>
            <w:sz w:val="24"/>
            <w:szCs w:val="24"/>
          </w:rPr>
          <w:t>N 11</w:t>
        </w:r>
        <w:bookmarkStart w:id="0" w:name="_GoBack"/>
        <w:r w:rsidR="00452405" w:rsidRPr="00452405">
          <w:rPr>
            <w:rStyle w:val="aa"/>
            <w:rFonts w:ascii="Times New Roman" w:hAnsi="Times New Roman" w:cs="Times New Roman"/>
            <w:sz w:val="24"/>
            <w:szCs w:val="24"/>
          </w:rPr>
          <w:t>7</w:t>
        </w:r>
        <w:bookmarkEnd w:id="0"/>
        <w:r w:rsidR="00452405" w:rsidRPr="00452405">
          <w:rPr>
            <w:rStyle w:val="aa"/>
            <w:rFonts w:ascii="Times New Roman" w:hAnsi="Times New Roman" w:cs="Times New Roman"/>
            <w:sz w:val="24"/>
            <w:szCs w:val="24"/>
          </w:rPr>
          <w:t>9-У</w:t>
        </w:r>
      </w:hyperlink>
    </w:p>
    <w:p w:rsidR="005C3FB7" w:rsidRPr="008D3D11" w:rsidRDefault="005C3FB7" w:rsidP="00B82C5C">
      <w:pPr>
        <w:pStyle w:val="1"/>
        <w:spacing w:before="0" w:after="0"/>
        <w:ind w:firstLine="567"/>
        <w:jc w:val="both"/>
        <w:rPr>
          <w:rFonts w:ascii="Times New Roman" w:hAnsi="Times New Roman" w:cs="Times New Roman"/>
        </w:rPr>
      </w:pPr>
    </w:p>
    <w:p w:rsidR="005C3FB7" w:rsidRPr="00125FA2" w:rsidRDefault="005C3FB7" w:rsidP="00402E31">
      <w:pPr>
        <w:spacing w:after="0" w:line="240" w:lineRule="auto"/>
        <w:ind w:firstLine="709"/>
        <w:jc w:val="both"/>
        <w:rPr>
          <w:rFonts w:ascii="Times New Roman" w:hAnsi="Times New Roman" w:cs="Times New Roman"/>
          <w:sz w:val="24"/>
          <w:szCs w:val="24"/>
        </w:rPr>
      </w:pPr>
      <w:r w:rsidRPr="008D3D11">
        <w:rPr>
          <w:rFonts w:ascii="Times New Roman" w:hAnsi="Times New Roman" w:cs="Times New Roman"/>
          <w:sz w:val="24"/>
          <w:szCs w:val="24"/>
        </w:rPr>
        <w:t>Настоящ</w:t>
      </w:r>
      <w:r w:rsidR="00C86258" w:rsidRPr="008D3D11">
        <w:rPr>
          <w:rFonts w:ascii="Times New Roman" w:hAnsi="Times New Roman" w:cs="Times New Roman"/>
          <w:sz w:val="24"/>
          <w:szCs w:val="24"/>
        </w:rPr>
        <w:t>ая</w:t>
      </w:r>
      <w:r w:rsidRPr="008D3D11">
        <w:rPr>
          <w:rFonts w:ascii="Times New Roman" w:hAnsi="Times New Roman" w:cs="Times New Roman"/>
          <w:sz w:val="24"/>
          <w:szCs w:val="24"/>
        </w:rPr>
        <w:t xml:space="preserve"> </w:t>
      </w:r>
      <w:r w:rsidR="00C86258" w:rsidRPr="008D3D11">
        <w:rPr>
          <w:rFonts w:ascii="Times New Roman" w:hAnsi="Times New Roman" w:cs="Times New Roman"/>
          <w:sz w:val="24"/>
          <w:szCs w:val="24"/>
        </w:rPr>
        <w:t>Инструкция</w:t>
      </w:r>
      <w:r w:rsidRPr="008D3D11">
        <w:rPr>
          <w:rFonts w:ascii="Times New Roman" w:hAnsi="Times New Roman" w:cs="Times New Roman"/>
          <w:sz w:val="24"/>
          <w:szCs w:val="24"/>
        </w:rPr>
        <w:t xml:space="preserve"> разработан</w:t>
      </w:r>
      <w:r w:rsidR="00C86258" w:rsidRPr="008D3D11">
        <w:rPr>
          <w:rFonts w:ascii="Times New Roman" w:hAnsi="Times New Roman" w:cs="Times New Roman"/>
          <w:sz w:val="24"/>
          <w:szCs w:val="24"/>
        </w:rPr>
        <w:t>а</w:t>
      </w:r>
      <w:r w:rsidRPr="008D3D11">
        <w:rPr>
          <w:rFonts w:ascii="Times New Roman" w:hAnsi="Times New Roman" w:cs="Times New Roman"/>
          <w:sz w:val="24"/>
          <w:szCs w:val="24"/>
        </w:rPr>
        <w:t xml:space="preserve"> в соответствии с Законом Приднестр</w:t>
      </w:r>
      <w:r w:rsidR="00123C23" w:rsidRPr="008D3D11">
        <w:rPr>
          <w:rFonts w:ascii="Times New Roman" w:hAnsi="Times New Roman" w:cs="Times New Roman"/>
          <w:sz w:val="24"/>
          <w:szCs w:val="24"/>
        </w:rPr>
        <w:t xml:space="preserve">овской Молдавской Республики от </w:t>
      </w:r>
      <w:r w:rsidRPr="008D3D11">
        <w:rPr>
          <w:rFonts w:ascii="Times New Roman" w:hAnsi="Times New Roman" w:cs="Times New Roman"/>
          <w:sz w:val="24"/>
          <w:szCs w:val="24"/>
        </w:rPr>
        <w:t xml:space="preserve">21 января 2008 года </w:t>
      </w:r>
      <w:r w:rsidR="00F751AB">
        <w:rPr>
          <w:rFonts w:ascii="Times New Roman" w:hAnsi="Times New Roman" w:cs="Times New Roman"/>
          <w:sz w:val="24"/>
          <w:szCs w:val="24"/>
        </w:rPr>
        <w:t>№ </w:t>
      </w:r>
      <w:r w:rsidRPr="008D3D11">
        <w:rPr>
          <w:rFonts w:ascii="Times New Roman" w:hAnsi="Times New Roman" w:cs="Times New Roman"/>
          <w:sz w:val="24"/>
          <w:szCs w:val="24"/>
        </w:rPr>
        <w:t xml:space="preserve">392-З-IV </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Об организации страхового дела</w:t>
      </w:r>
      <w:r w:rsidR="00123C23" w:rsidRPr="008D3D11">
        <w:rPr>
          <w:rFonts w:ascii="Times New Roman" w:hAnsi="Times New Roman" w:cs="Times New Roman"/>
          <w:sz w:val="24"/>
          <w:szCs w:val="24"/>
        </w:rPr>
        <w:t xml:space="preserve">» (САЗ </w:t>
      </w:r>
      <w:r w:rsidRPr="008D3D11">
        <w:rPr>
          <w:rFonts w:ascii="Times New Roman" w:hAnsi="Times New Roman" w:cs="Times New Roman"/>
          <w:sz w:val="24"/>
          <w:szCs w:val="24"/>
        </w:rPr>
        <w:t>08-3)</w:t>
      </w:r>
      <w:r w:rsidR="00944DBA" w:rsidRPr="008D3D11">
        <w:rPr>
          <w:rFonts w:ascii="Times New Roman" w:hAnsi="Times New Roman" w:cs="Times New Roman"/>
          <w:sz w:val="24"/>
          <w:szCs w:val="24"/>
        </w:rPr>
        <w:t xml:space="preserve"> </w:t>
      </w:r>
      <w:r w:rsidR="00DC07C3" w:rsidRPr="008D3D11">
        <w:rPr>
          <w:rFonts w:ascii="Times New Roman" w:hAnsi="Times New Roman" w:cs="Times New Roman"/>
          <w:sz w:val="24"/>
          <w:szCs w:val="24"/>
        </w:rPr>
        <w:t xml:space="preserve">в </w:t>
      </w:r>
      <w:r w:rsidR="00FC0D34">
        <w:rPr>
          <w:rFonts w:ascii="Times New Roman" w:hAnsi="Times New Roman" w:cs="Times New Roman"/>
          <w:sz w:val="24"/>
          <w:szCs w:val="24"/>
        </w:rPr>
        <w:t>действующей</w:t>
      </w:r>
      <w:r w:rsidR="00DC07C3" w:rsidRPr="008D3D11">
        <w:rPr>
          <w:rFonts w:ascii="Times New Roman" w:hAnsi="Times New Roman" w:cs="Times New Roman"/>
          <w:sz w:val="24"/>
          <w:szCs w:val="24"/>
        </w:rPr>
        <w:t xml:space="preserve"> редакции</w:t>
      </w:r>
      <w:r w:rsidRPr="008D3D11">
        <w:rPr>
          <w:rFonts w:ascii="Times New Roman" w:hAnsi="Times New Roman" w:cs="Times New Roman"/>
          <w:sz w:val="24"/>
          <w:szCs w:val="24"/>
        </w:rPr>
        <w:t>, Законом Приднестров</w:t>
      </w:r>
      <w:r w:rsidR="00123C23" w:rsidRPr="008D3D11">
        <w:rPr>
          <w:rFonts w:ascii="Times New Roman" w:hAnsi="Times New Roman" w:cs="Times New Roman"/>
          <w:sz w:val="24"/>
          <w:szCs w:val="24"/>
        </w:rPr>
        <w:t>ской Молдавской Республики от</w:t>
      </w:r>
      <w:r w:rsidR="00EA3C43">
        <w:rPr>
          <w:rFonts w:ascii="Times New Roman" w:hAnsi="Times New Roman" w:cs="Times New Roman"/>
          <w:sz w:val="24"/>
          <w:szCs w:val="24"/>
        </w:rPr>
        <w:t xml:space="preserve"> </w:t>
      </w:r>
      <w:r w:rsidR="00123C23" w:rsidRPr="008D3D11">
        <w:rPr>
          <w:rFonts w:ascii="Times New Roman" w:hAnsi="Times New Roman" w:cs="Times New Roman"/>
          <w:sz w:val="24"/>
          <w:szCs w:val="24"/>
        </w:rPr>
        <w:t xml:space="preserve">7 </w:t>
      </w:r>
      <w:r w:rsidRPr="008D3D11">
        <w:rPr>
          <w:rFonts w:ascii="Times New Roman" w:hAnsi="Times New Roman" w:cs="Times New Roman"/>
          <w:sz w:val="24"/>
          <w:szCs w:val="24"/>
        </w:rPr>
        <w:t>мая</w:t>
      </w:r>
      <w:r w:rsidR="00017536" w:rsidRPr="008D3D11">
        <w:rPr>
          <w:rFonts w:ascii="Times New Roman" w:hAnsi="Times New Roman" w:cs="Times New Roman"/>
          <w:sz w:val="24"/>
          <w:szCs w:val="24"/>
        </w:rPr>
        <w:t xml:space="preserve"> </w:t>
      </w:r>
      <w:r w:rsidRPr="008D3D11">
        <w:rPr>
          <w:rFonts w:ascii="Times New Roman" w:hAnsi="Times New Roman" w:cs="Times New Roman"/>
          <w:sz w:val="24"/>
          <w:szCs w:val="24"/>
        </w:rPr>
        <w:t>2007</w:t>
      </w:r>
      <w:r w:rsidR="00123C23" w:rsidRPr="008D3D11">
        <w:rPr>
          <w:rFonts w:ascii="Times New Roman" w:hAnsi="Times New Roman" w:cs="Times New Roman"/>
          <w:sz w:val="24"/>
          <w:szCs w:val="24"/>
        </w:rPr>
        <w:t xml:space="preserve"> </w:t>
      </w:r>
      <w:r w:rsidRPr="008D3D11">
        <w:rPr>
          <w:rFonts w:ascii="Times New Roman" w:hAnsi="Times New Roman" w:cs="Times New Roman"/>
          <w:sz w:val="24"/>
          <w:szCs w:val="24"/>
        </w:rPr>
        <w:t xml:space="preserve">года </w:t>
      </w:r>
      <w:r w:rsidR="00F751AB">
        <w:rPr>
          <w:rFonts w:ascii="Times New Roman" w:hAnsi="Times New Roman" w:cs="Times New Roman"/>
          <w:sz w:val="24"/>
          <w:szCs w:val="24"/>
        </w:rPr>
        <w:t>№ </w:t>
      </w:r>
      <w:r w:rsidRPr="008D3D11">
        <w:rPr>
          <w:rFonts w:ascii="Times New Roman" w:hAnsi="Times New Roman" w:cs="Times New Roman"/>
          <w:sz w:val="24"/>
          <w:szCs w:val="24"/>
        </w:rPr>
        <w:t xml:space="preserve">212-З-IV </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О центральном банке Приднестровской Молдавской Республики</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 xml:space="preserve"> (САЗ 07-20)</w:t>
      </w:r>
      <w:r w:rsidR="00DC07C3" w:rsidRPr="008D3D11">
        <w:rPr>
          <w:rFonts w:ascii="Times New Roman" w:hAnsi="Times New Roman" w:cs="Times New Roman"/>
          <w:sz w:val="24"/>
          <w:szCs w:val="24"/>
        </w:rPr>
        <w:t xml:space="preserve"> в </w:t>
      </w:r>
      <w:r w:rsidR="00FC0D34">
        <w:rPr>
          <w:rFonts w:ascii="Times New Roman" w:hAnsi="Times New Roman" w:cs="Times New Roman"/>
          <w:sz w:val="24"/>
          <w:szCs w:val="24"/>
        </w:rPr>
        <w:t>действующей</w:t>
      </w:r>
      <w:r w:rsidR="00DC07C3" w:rsidRPr="008D3D11">
        <w:rPr>
          <w:rFonts w:ascii="Times New Roman" w:hAnsi="Times New Roman" w:cs="Times New Roman"/>
          <w:sz w:val="24"/>
          <w:szCs w:val="24"/>
        </w:rPr>
        <w:t xml:space="preserve"> редакции</w:t>
      </w:r>
      <w:r w:rsidR="00897D12">
        <w:rPr>
          <w:rFonts w:ascii="Times New Roman" w:hAnsi="Times New Roman" w:cs="Times New Roman"/>
          <w:sz w:val="24"/>
          <w:szCs w:val="24"/>
        </w:rPr>
        <w:t xml:space="preserve">, </w:t>
      </w:r>
      <w:r w:rsidR="00897D12" w:rsidRPr="00897D12">
        <w:rPr>
          <w:rFonts w:ascii="Times New Roman" w:hAnsi="Times New Roman" w:cs="Times New Roman"/>
          <w:sz w:val="24"/>
          <w:szCs w:val="24"/>
        </w:rPr>
        <w:t>Закон</w:t>
      </w:r>
      <w:r w:rsidR="009907E5">
        <w:rPr>
          <w:rFonts w:ascii="Times New Roman" w:hAnsi="Times New Roman" w:cs="Times New Roman"/>
          <w:sz w:val="24"/>
          <w:szCs w:val="24"/>
        </w:rPr>
        <w:t>ом</w:t>
      </w:r>
      <w:r w:rsidR="00897D12" w:rsidRPr="00897D12">
        <w:rPr>
          <w:rFonts w:ascii="Times New Roman" w:hAnsi="Times New Roman" w:cs="Times New Roman"/>
          <w:sz w:val="24"/>
          <w:szCs w:val="24"/>
        </w:rPr>
        <w:t xml:space="preserve"> Приднестр</w:t>
      </w:r>
      <w:r w:rsidR="00125FA2">
        <w:rPr>
          <w:rFonts w:ascii="Times New Roman" w:hAnsi="Times New Roman" w:cs="Times New Roman"/>
          <w:sz w:val="24"/>
          <w:szCs w:val="24"/>
        </w:rPr>
        <w:t>овской Молдавской Республики от</w:t>
      </w:r>
      <w:r w:rsidR="00EA3C43">
        <w:rPr>
          <w:rFonts w:ascii="Times New Roman" w:hAnsi="Times New Roman" w:cs="Times New Roman"/>
          <w:sz w:val="24"/>
          <w:szCs w:val="24"/>
        </w:rPr>
        <w:t xml:space="preserve"> </w:t>
      </w:r>
      <w:r w:rsidR="00897D12" w:rsidRPr="00897D12">
        <w:rPr>
          <w:rFonts w:ascii="Times New Roman" w:hAnsi="Times New Roman" w:cs="Times New Roman"/>
          <w:sz w:val="24"/>
          <w:szCs w:val="24"/>
        </w:rPr>
        <w:t>17 августа 2004 года №</w:t>
      </w:r>
      <w:r w:rsidR="00F751AB">
        <w:rPr>
          <w:rFonts w:ascii="Times New Roman" w:hAnsi="Times New Roman" w:cs="Times New Roman"/>
          <w:sz w:val="24"/>
          <w:szCs w:val="24"/>
        </w:rPr>
        <w:t> </w:t>
      </w:r>
      <w:r w:rsidR="00897D12" w:rsidRPr="00897D12">
        <w:rPr>
          <w:rFonts w:ascii="Times New Roman" w:hAnsi="Times New Roman" w:cs="Times New Roman"/>
          <w:sz w:val="24"/>
          <w:szCs w:val="24"/>
        </w:rPr>
        <w:t xml:space="preserve">467-З-III </w:t>
      </w:r>
      <w:r w:rsidR="00897D12" w:rsidRPr="00125FA2">
        <w:rPr>
          <w:rFonts w:ascii="Times New Roman" w:hAnsi="Times New Roman" w:cs="Times New Roman"/>
          <w:sz w:val="24"/>
          <w:szCs w:val="24"/>
        </w:rPr>
        <w:t>«О бухгалтерском учете и финансовой отчетности»</w:t>
      </w:r>
      <w:r w:rsidR="00EA3C43">
        <w:rPr>
          <w:rFonts w:ascii="Times New Roman" w:hAnsi="Times New Roman" w:cs="Times New Roman"/>
          <w:sz w:val="24"/>
          <w:szCs w:val="24"/>
        </w:rPr>
        <w:t xml:space="preserve"> </w:t>
      </w:r>
      <w:r w:rsidR="00897D12" w:rsidRPr="00125FA2">
        <w:rPr>
          <w:rFonts w:ascii="Times New Roman" w:hAnsi="Times New Roman" w:cs="Times New Roman"/>
          <w:sz w:val="24"/>
          <w:szCs w:val="24"/>
        </w:rPr>
        <w:t>(САЗ 04-34) в действующей редакции</w:t>
      </w:r>
      <w:r w:rsidR="009110E4" w:rsidRPr="00125FA2">
        <w:rPr>
          <w:rFonts w:ascii="Times New Roman" w:hAnsi="Times New Roman" w:cs="Times New Roman"/>
          <w:sz w:val="24"/>
          <w:szCs w:val="24"/>
        </w:rPr>
        <w:t>, Законом Приднестровской Молдавской Республики от 10 января 2004 года №</w:t>
      </w:r>
      <w:r w:rsidR="00F751AB">
        <w:rPr>
          <w:rFonts w:ascii="Times New Roman" w:hAnsi="Times New Roman" w:cs="Times New Roman"/>
          <w:sz w:val="24"/>
          <w:szCs w:val="24"/>
        </w:rPr>
        <w:t> </w:t>
      </w:r>
      <w:r w:rsidR="009110E4" w:rsidRPr="00125FA2">
        <w:rPr>
          <w:rFonts w:ascii="Times New Roman" w:hAnsi="Times New Roman" w:cs="Times New Roman"/>
          <w:sz w:val="24"/>
          <w:szCs w:val="24"/>
        </w:rPr>
        <w:t>384-З-III «Об акционерных обществах» в действующей редакции, Законом Приднестровской Молдавской Республики от 10</w:t>
      </w:r>
      <w:r w:rsidR="00F751AB">
        <w:rPr>
          <w:rFonts w:ascii="Times New Roman" w:hAnsi="Times New Roman" w:cs="Times New Roman"/>
          <w:sz w:val="24"/>
          <w:szCs w:val="24"/>
        </w:rPr>
        <w:t> </w:t>
      </w:r>
      <w:r w:rsidR="009110E4" w:rsidRPr="00125FA2">
        <w:rPr>
          <w:rFonts w:ascii="Times New Roman" w:hAnsi="Times New Roman" w:cs="Times New Roman"/>
          <w:sz w:val="24"/>
          <w:szCs w:val="24"/>
        </w:rPr>
        <w:t>июля 2002</w:t>
      </w:r>
      <w:r w:rsidR="00EA3C43">
        <w:rPr>
          <w:rFonts w:ascii="Times New Roman" w:hAnsi="Times New Roman" w:cs="Times New Roman"/>
          <w:sz w:val="24"/>
          <w:szCs w:val="24"/>
        </w:rPr>
        <w:t> </w:t>
      </w:r>
      <w:r w:rsidR="009110E4" w:rsidRPr="00125FA2">
        <w:rPr>
          <w:rFonts w:ascii="Times New Roman" w:hAnsi="Times New Roman" w:cs="Times New Roman"/>
          <w:sz w:val="24"/>
          <w:szCs w:val="24"/>
        </w:rPr>
        <w:t>года №</w:t>
      </w:r>
      <w:r w:rsidR="00F751AB">
        <w:rPr>
          <w:rFonts w:ascii="Times New Roman" w:hAnsi="Times New Roman" w:cs="Times New Roman"/>
          <w:sz w:val="24"/>
          <w:szCs w:val="24"/>
        </w:rPr>
        <w:t> </w:t>
      </w:r>
      <w:r w:rsidR="009110E4" w:rsidRPr="00125FA2">
        <w:rPr>
          <w:rFonts w:ascii="Times New Roman" w:hAnsi="Times New Roman" w:cs="Times New Roman"/>
          <w:sz w:val="24"/>
          <w:szCs w:val="24"/>
        </w:rPr>
        <w:t>153-З-III</w:t>
      </w:r>
      <w:r w:rsidR="00EA3C43">
        <w:rPr>
          <w:rFonts w:ascii="Times New Roman" w:hAnsi="Times New Roman" w:cs="Times New Roman"/>
          <w:sz w:val="24"/>
          <w:szCs w:val="24"/>
        </w:rPr>
        <w:t xml:space="preserve"> </w:t>
      </w:r>
      <w:r w:rsidR="009110E4" w:rsidRPr="00125FA2">
        <w:rPr>
          <w:rFonts w:ascii="Times New Roman" w:hAnsi="Times New Roman" w:cs="Times New Roman"/>
          <w:sz w:val="24"/>
          <w:szCs w:val="24"/>
        </w:rPr>
        <w:t xml:space="preserve">«Об обществах с ограниченной ответственностью» в действующей редакции. </w:t>
      </w:r>
    </w:p>
    <w:p w:rsidR="004708B2" w:rsidRPr="008D3D11" w:rsidRDefault="004708B2" w:rsidP="00402E31">
      <w:pPr>
        <w:spacing w:after="0" w:line="240" w:lineRule="auto"/>
        <w:jc w:val="center"/>
        <w:outlineLvl w:val="0"/>
        <w:rPr>
          <w:rFonts w:ascii="Times New Roman" w:hAnsi="Times New Roman" w:cs="Times New Roman"/>
          <w:kern w:val="36"/>
          <w:sz w:val="24"/>
          <w:szCs w:val="24"/>
        </w:rPr>
      </w:pPr>
    </w:p>
    <w:p w:rsidR="005C3FB7" w:rsidRPr="008D3D11" w:rsidRDefault="005C3FB7" w:rsidP="00402E31">
      <w:pPr>
        <w:spacing w:after="0" w:line="240" w:lineRule="auto"/>
        <w:jc w:val="center"/>
        <w:outlineLvl w:val="0"/>
        <w:rPr>
          <w:rFonts w:ascii="Times New Roman" w:hAnsi="Times New Roman" w:cs="Times New Roman"/>
          <w:kern w:val="36"/>
          <w:sz w:val="24"/>
          <w:szCs w:val="24"/>
        </w:rPr>
      </w:pPr>
      <w:r w:rsidRPr="008D3D11">
        <w:rPr>
          <w:rFonts w:ascii="Times New Roman" w:hAnsi="Times New Roman" w:cs="Times New Roman"/>
          <w:kern w:val="36"/>
          <w:sz w:val="24"/>
          <w:szCs w:val="24"/>
        </w:rPr>
        <w:t xml:space="preserve">Глава 1. Основные </w:t>
      </w:r>
      <w:r w:rsidR="00570BA3" w:rsidRPr="008D3D11">
        <w:rPr>
          <w:rFonts w:ascii="Times New Roman" w:hAnsi="Times New Roman" w:cs="Times New Roman"/>
          <w:kern w:val="36"/>
          <w:sz w:val="24"/>
          <w:szCs w:val="24"/>
        </w:rPr>
        <w:t>положения</w:t>
      </w:r>
    </w:p>
    <w:p w:rsidR="004708B2" w:rsidRPr="008D3D11" w:rsidRDefault="004708B2" w:rsidP="00402E31">
      <w:pPr>
        <w:spacing w:after="0" w:line="240" w:lineRule="auto"/>
        <w:jc w:val="center"/>
        <w:outlineLvl w:val="0"/>
        <w:rPr>
          <w:rFonts w:ascii="Times New Roman" w:hAnsi="Times New Roman" w:cs="Times New Roman"/>
          <w:kern w:val="36"/>
          <w:sz w:val="24"/>
          <w:szCs w:val="24"/>
        </w:rPr>
      </w:pPr>
    </w:p>
    <w:p w:rsidR="00066BA6" w:rsidRPr="000B2FA8" w:rsidRDefault="00DE3423"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color w:val="000000"/>
          <w:sz w:val="24"/>
          <w:szCs w:val="24"/>
        </w:rPr>
      </w:pPr>
      <w:r w:rsidRPr="008D3D11">
        <w:rPr>
          <w:rFonts w:ascii="Times New Roman" w:eastAsia="Times New Roman" w:hAnsi="Times New Roman" w:cs="Times New Roman"/>
          <w:sz w:val="24"/>
          <w:szCs w:val="24"/>
        </w:rPr>
        <w:t>Под стоимостью чистых активов страховой организации понимается величина, определяемая путем вычитания из суммы активов, принимаемых к расчету</w:t>
      </w:r>
      <w:r w:rsidR="00FC0D34">
        <w:rPr>
          <w:rFonts w:ascii="Times New Roman" w:eastAsia="Times New Roman" w:hAnsi="Times New Roman" w:cs="Times New Roman"/>
          <w:sz w:val="24"/>
          <w:szCs w:val="24"/>
        </w:rPr>
        <w:t xml:space="preserve"> </w:t>
      </w:r>
      <w:r w:rsidR="00FC0D34" w:rsidRPr="004C3D18">
        <w:rPr>
          <w:rFonts w:ascii="Times New Roman" w:eastAsia="Times New Roman" w:hAnsi="Times New Roman" w:cs="Times New Roman"/>
          <w:sz w:val="24"/>
          <w:szCs w:val="24"/>
        </w:rPr>
        <w:t xml:space="preserve">страховой </w:t>
      </w:r>
      <w:r w:rsidR="00FC0D34" w:rsidRPr="000B2FA8">
        <w:rPr>
          <w:rFonts w:ascii="Times New Roman" w:eastAsia="Times New Roman" w:hAnsi="Times New Roman" w:cs="Times New Roman"/>
          <w:sz w:val="24"/>
          <w:szCs w:val="24"/>
        </w:rPr>
        <w:t>организацией</w:t>
      </w:r>
      <w:r w:rsidRPr="000B2FA8">
        <w:rPr>
          <w:rFonts w:ascii="Times New Roman" w:eastAsia="Times New Roman" w:hAnsi="Times New Roman" w:cs="Times New Roman"/>
          <w:sz w:val="24"/>
          <w:szCs w:val="24"/>
        </w:rPr>
        <w:t xml:space="preserve">, суммы </w:t>
      </w:r>
      <w:r w:rsidR="0087628D" w:rsidRPr="000B2FA8">
        <w:rPr>
          <w:rFonts w:ascii="Times New Roman" w:eastAsia="Times New Roman" w:hAnsi="Times New Roman" w:cs="Times New Roman"/>
          <w:sz w:val="24"/>
          <w:szCs w:val="24"/>
        </w:rPr>
        <w:t xml:space="preserve">ее </w:t>
      </w:r>
      <w:r w:rsidR="00F92A9B" w:rsidRPr="000B2FA8">
        <w:rPr>
          <w:rFonts w:ascii="Times New Roman" w:eastAsia="Times New Roman" w:hAnsi="Times New Roman" w:cs="Times New Roman"/>
          <w:sz w:val="24"/>
          <w:szCs w:val="24"/>
        </w:rPr>
        <w:t>обязательств</w:t>
      </w:r>
      <w:r w:rsidRPr="000B2FA8">
        <w:rPr>
          <w:rFonts w:ascii="Times New Roman" w:eastAsia="Times New Roman" w:hAnsi="Times New Roman" w:cs="Times New Roman"/>
          <w:sz w:val="24"/>
          <w:szCs w:val="24"/>
        </w:rPr>
        <w:t>, принимаемых к расчету</w:t>
      </w:r>
      <w:r w:rsidR="00464229" w:rsidRPr="000B2FA8">
        <w:rPr>
          <w:rFonts w:ascii="Times New Roman" w:eastAsia="Times New Roman" w:hAnsi="Times New Roman" w:cs="Times New Roman"/>
          <w:sz w:val="24"/>
          <w:szCs w:val="24"/>
        </w:rPr>
        <w:t>.</w:t>
      </w:r>
      <w:r w:rsidR="0053779F" w:rsidRPr="000B2FA8">
        <w:rPr>
          <w:rFonts w:ascii="Times New Roman" w:eastAsia="Times New Roman" w:hAnsi="Times New Roman" w:cs="Times New Roman"/>
          <w:sz w:val="24"/>
          <w:szCs w:val="24"/>
        </w:rPr>
        <w:t xml:space="preserve"> </w:t>
      </w:r>
    </w:p>
    <w:p w:rsidR="00223FA3" w:rsidRPr="000B2FA8" w:rsidRDefault="00223FA3"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color w:val="000000"/>
          <w:sz w:val="24"/>
          <w:szCs w:val="24"/>
        </w:rPr>
      </w:pPr>
      <w:r w:rsidRPr="000B2FA8">
        <w:rPr>
          <w:rFonts w:ascii="Times New Roman" w:hAnsi="Times New Roman" w:cs="Times New Roman"/>
          <w:sz w:val="24"/>
          <w:szCs w:val="24"/>
        </w:rPr>
        <w:t>Оценка имущества, средств в расчетах и других активов и пассивов страховых организаций производится с учетом требований положений по бухгалтерскому учету и других нормативных правовых актов по бухгалтерскому учету.</w:t>
      </w:r>
    </w:p>
    <w:p w:rsidR="001113A3" w:rsidRPr="00FC0D34" w:rsidRDefault="00E07666"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sz w:val="24"/>
          <w:szCs w:val="24"/>
        </w:rPr>
      </w:pPr>
      <w:r w:rsidRPr="008D3D11">
        <w:rPr>
          <w:rFonts w:ascii="Times New Roman" w:hAnsi="Times New Roman" w:cs="Times New Roman"/>
          <w:sz w:val="24"/>
          <w:szCs w:val="24"/>
        </w:rPr>
        <w:t xml:space="preserve">Расчет </w:t>
      </w:r>
      <w:r w:rsidR="0087628D">
        <w:rPr>
          <w:rFonts w:ascii="Times New Roman" w:hAnsi="Times New Roman" w:cs="Times New Roman"/>
          <w:sz w:val="24"/>
          <w:szCs w:val="24"/>
        </w:rPr>
        <w:t xml:space="preserve">чистых </w:t>
      </w:r>
      <w:r w:rsidR="007F7ED1" w:rsidRPr="008D3D11">
        <w:rPr>
          <w:rFonts w:ascii="Times New Roman" w:hAnsi="Times New Roman" w:cs="Times New Roman"/>
          <w:sz w:val="24"/>
          <w:szCs w:val="24"/>
        </w:rPr>
        <w:t>активов</w:t>
      </w:r>
      <w:r w:rsidR="001113A3" w:rsidRPr="008D3D11">
        <w:rPr>
          <w:rFonts w:ascii="Times New Roman" w:hAnsi="Times New Roman" w:cs="Times New Roman"/>
          <w:sz w:val="24"/>
          <w:szCs w:val="24"/>
        </w:rPr>
        <w:t xml:space="preserve"> страховых организаций </w:t>
      </w:r>
      <w:r w:rsidR="007F7ED1" w:rsidRPr="008D3D11">
        <w:rPr>
          <w:rFonts w:ascii="Times New Roman" w:eastAsia="Times New Roman" w:hAnsi="Times New Roman" w:cs="Times New Roman"/>
          <w:sz w:val="24"/>
          <w:szCs w:val="24"/>
        </w:rPr>
        <w:t>производится</w:t>
      </w:r>
      <w:r w:rsidR="00EF5B85">
        <w:rPr>
          <w:rFonts w:ascii="Times New Roman" w:eastAsia="Times New Roman" w:hAnsi="Times New Roman" w:cs="Times New Roman"/>
          <w:sz w:val="24"/>
          <w:szCs w:val="24"/>
        </w:rPr>
        <w:t xml:space="preserve"> на основании данных бухгалтерского учета </w:t>
      </w:r>
      <w:r w:rsidR="001113A3" w:rsidRPr="008D3D11">
        <w:rPr>
          <w:rFonts w:ascii="Times New Roman" w:hAnsi="Times New Roman" w:cs="Times New Roman"/>
          <w:sz w:val="24"/>
          <w:szCs w:val="24"/>
        </w:rPr>
        <w:t>в соответствии с определенной в настоящей Инструкции методикой их расчета на основании принципов достоверности и объективности, осмотрительности, преобладания экономическ</w:t>
      </w:r>
      <w:r w:rsidR="001113A3" w:rsidRPr="008D3D11">
        <w:rPr>
          <w:rFonts w:ascii="Times New Roman" w:eastAsia="Times New Roman" w:hAnsi="Times New Roman" w:cs="Times New Roman"/>
          <w:sz w:val="24"/>
          <w:szCs w:val="24"/>
        </w:rPr>
        <w:t>о</w:t>
      </w:r>
      <w:r w:rsidR="001113A3" w:rsidRPr="008D3D11">
        <w:rPr>
          <w:rFonts w:ascii="Times New Roman" w:hAnsi="Times New Roman" w:cs="Times New Roman"/>
          <w:sz w:val="24"/>
          <w:szCs w:val="24"/>
        </w:rPr>
        <w:t xml:space="preserve">й сущности над формой и других </w:t>
      </w:r>
      <w:r w:rsidR="009907E5">
        <w:rPr>
          <w:rFonts w:ascii="Times New Roman" w:hAnsi="Times New Roman" w:cs="Times New Roman"/>
          <w:sz w:val="24"/>
          <w:szCs w:val="24"/>
        </w:rPr>
        <w:t>обще</w:t>
      </w:r>
      <w:r w:rsidR="001113A3" w:rsidRPr="008D3D11">
        <w:rPr>
          <w:rFonts w:ascii="Times New Roman" w:hAnsi="Times New Roman" w:cs="Times New Roman"/>
          <w:sz w:val="24"/>
          <w:szCs w:val="24"/>
        </w:rPr>
        <w:t>признанных принципов, позволяющих качественно оценить опера</w:t>
      </w:r>
      <w:r w:rsidR="004708B2" w:rsidRPr="008D3D11">
        <w:rPr>
          <w:rFonts w:ascii="Times New Roman" w:hAnsi="Times New Roman" w:cs="Times New Roman"/>
          <w:sz w:val="24"/>
          <w:szCs w:val="24"/>
        </w:rPr>
        <w:t>ции и отразить их в отчетности.</w:t>
      </w:r>
    </w:p>
    <w:p w:rsidR="00D84B9F" w:rsidRPr="00D84B9F" w:rsidRDefault="00D84B9F" w:rsidP="00D84B9F">
      <w:pPr>
        <w:tabs>
          <w:tab w:val="left" w:pos="644"/>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eastAsia="Times New Roman" w:hAnsi="Times New Roman" w:cs="Times New Roman"/>
          <w:sz w:val="24"/>
          <w:szCs w:val="24"/>
        </w:rPr>
        <w:t xml:space="preserve">4. </w:t>
      </w:r>
      <w:r w:rsidRPr="00D84B9F">
        <w:rPr>
          <w:rFonts w:ascii="Times New Roman" w:hAnsi="Times New Roman" w:cs="Times New Roman"/>
          <w:sz w:val="24"/>
          <w:szCs w:val="24"/>
        </w:rPr>
        <w:t>В целях настоящей Инструкции используются следующие термины и определения:</w:t>
      </w:r>
    </w:p>
    <w:p w:rsidR="00D84B9F" w:rsidRPr="00D84B9F" w:rsidRDefault="00D84B9F" w:rsidP="00D84B9F">
      <w:pPr>
        <w:tabs>
          <w:tab w:val="left" w:pos="644"/>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hAnsi="Times New Roman" w:cs="Times New Roman"/>
          <w:sz w:val="24"/>
          <w:szCs w:val="24"/>
        </w:rPr>
        <w:lastRenderedPageBreak/>
        <w:t>а) справедливая стоимость – это такая оценка актива, по которой продавец актива, имея полную информацию о его стоимости и не обязанный его продавать, согласен был бы его продать, а покупатель, имеющий полную информацию о стоимости указанного актива и не обязанный его приобрести, согласен был бы его приобрести в разумно короткий срок, не превышающий 270 календарных дней;</w:t>
      </w:r>
    </w:p>
    <w:p w:rsidR="00D84B9F" w:rsidRPr="00D84B9F" w:rsidRDefault="00D84B9F" w:rsidP="00D84B9F">
      <w:pPr>
        <w:tabs>
          <w:tab w:val="left" w:pos="644"/>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hAnsi="Times New Roman" w:cs="Times New Roman"/>
          <w:sz w:val="24"/>
          <w:szCs w:val="24"/>
        </w:rPr>
        <w:t>б) дебиторская задолженность – это обязательства физических и юридических лиц, денежные средства по которым организация планирует получить в течение определенного периода времени за поставленные товары, выполненные работы, оказанные услуги;</w:t>
      </w:r>
    </w:p>
    <w:p w:rsidR="00D84B9F" w:rsidRPr="00D84B9F" w:rsidRDefault="00D84B9F" w:rsidP="00D84B9F">
      <w:pPr>
        <w:tabs>
          <w:tab w:val="left" w:pos="644"/>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hAnsi="Times New Roman" w:cs="Times New Roman"/>
          <w:sz w:val="24"/>
          <w:szCs w:val="24"/>
        </w:rPr>
        <w:t>В состав дебиторской задолженности входят в том числе:</w:t>
      </w:r>
    </w:p>
    <w:p w:rsidR="00D84B9F" w:rsidRPr="00D84B9F" w:rsidRDefault="00D84B9F" w:rsidP="00D84B9F">
      <w:pPr>
        <w:pStyle w:val="ad"/>
        <w:tabs>
          <w:tab w:val="left" w:pos="644"/>
        </w:tabs>
        <w:autoSpaceDE w:val="0"/>
        <w:autoSpaceDN w:val="0"/>
        <w:adjustRightInd w:val="0"/>
        <w:spacing w:after="0" w:line="240" w:lineRule="auto"/>
        <w:ind w:left="0" w:firstLine="709"/>
        <w:jc w:val="both"/>
        <w:rPr>
          <w:rFonts w:ascii="Times New Roman" w:hAnsi="Times New Roman" w:cs="Times New Roman"/>
          <w:sz w:val="24"/>
          <w:szCs w:val="24"/>
        </w:rPr>
      </w:pPr>
      <w:r w:rsidRPr="00D84B9F">
        <w:rPr>
          <w:rFonts w:ascii="Times New Roman" w:hAnsi="Times New Roman" w:cs="Times New Roman"/>
          <w:sz w:val="24"/>
          <w:szCs w:val="24"/>
        </w:rPr>
        <w:t>1) суммы авансов, выданных поставщикам и подрядчикам;</w:t>
      </w:r>
    </w:p>
    <w:p w:rsidR="00D84B9F" w:rsidRPr="00D84B9F" w:rsidRDefault="00D84B9F" w:rsidP="00D84B9F">
      <w:pPr>
        <w:pStyle w:val="ad"/>
        <w:tabs>
          <w:tab w:val="left" w:pos="644"/>
        </w:tabs>
        <w:autoSpaceDE w:val="0"/>
        <w:autoSpaceDN w:val="0"/>
        <w:adjustRightInd w:val="0"/>
        <w:spacing w:after="0" w:line="240" w:lineRule="auto"/>
        <w:ind w:left="0" w:firstLine="709"/>
        <w:jc w:val="both"/>
        <w:rPr>
          <w:rFonts w:ascii="Times New Roman" w:hAnsi="Times New Roman" w:cs="Times New Roman"/>
          <w:sz w:val="24"/>
          <w:szCs w:val="24"/>
        </w:rPr>
      </w:pPr>
      <w:r w:rsidRPr="00D84B9F">
        <w:rPr>
          <w:rFonts w:ascii="Times New Roman" w:hAnsi="Times New Roman" w:cs="Times New Roman"/>
          <w:sz w:val="24"/>
          <w:szCs w:val="24"/>
        </w:rPr>
        <w:t>2) права требования к лицам, ответственным за причиненный ущерб, перешедшие к страховщику в соответствии с действующим законодательством от страхователя (выгодоприобретателя) и т.п.;</w:t>
      </w:r>
    </w:p>
    <w:p w:rsidR="00D84B9F" w:rsidRPr="00D84B9F" w:rsidRDefault="00D84B9F" w:rsidP="00D84B9F">
      <w:pPr>
        <w:pStyle w:val="ad"/>
        <w:tabs>
          <w:tab w:val="left" w:pos="644"/>
        </w:tabs>
        <w:autoSpaceDE w:val="0"/>
        <w:autoSpaceDN w:val="0"/>
        <w:adjustRightInd w:val="0"/>
        <w:spacing w:after="0" w:line="240" w:lineRule="auto"/>
        <w:ind w:left="0" w:firstLine="709"/>
        <w:jc w:val="both"/>
        <w:rPr>
          <w:rFonts w:ascii="Times New Roman" w:hAnsi="Times New Roman" w:cs="Times New Roman"/>
          <w:sz w:val="24"/>
          <w:szCs w:val="24"/>
        </w:rPr>
      </w:pPr>
      <w:r w:rsidRPr="00D84B9F">
        <w:rPr>
          <w:rFonts w:ascii="Times New Roman" w:hAnsi="Times New Roman" w:cs="Times New Roman"/>
          <w:sz w:val="24"/>
          <w:szCs w:val="24"/>
        </w:rPr>
        <w:t>3) суммы, подлежащие получению при финансировании различных мероприятий;</w:t>
      </w:r>
    </w:p>
    <w:p w:rsidR="00D84B9F" w:rsidRPr="00D84B9F" w:rsidRDefault="00D84B9F" w:rsidP="00D84B9F">
      <w:pPr>
        <w:tabs>
          <w:tab w:val="left" w:pos="64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hAnsi="Times New Roman" w:cs="Times New Roman"/>
          <w:sz w:val="24"/>
          <w:szCs w:val="24"/>
        </w:rPr>
        <w:t>в) сомнительный долг – дебиторская задолженность контрагентов, которая не погашена в сроки, установленные договором и не имеет соответствующего обеспечения (залог, поручительство, банковская гарантия) либо дебиторская задолженность, в отношении которой имеются существенные обстоятельства, свидетельствующие о риске ее невозврата.</w:t>
      </w:r>
    </w:p>
    <w:p w:rsidR="00D84B9F" w:rsidRPr="00D84B9F" w:rsidRDefault="00D84B9F" w:rsidP="00D84B9F">
      <w:pPr>
        <w:tabs>
          <w:tab w:val="left" w:pos="64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84B9F">
        <w:rPr>
          <w:rFonts w:ascii="Times New Roman" w:hAnsi="Times New Roman" w:cs="Times New Roman"/>
          <w:sz w:val="24"/>
          <w:szCs w:val="24"/>
        </w:rPr>
        <w:t xml:space="preserve">При наличии у страховой организации перед контрагентом встречного обязательства (кредиторской задолженности) сомнительным долгом признается соответствующая задолженность перед страховой организацией в той части, которая превышает указанную кредиторскую задолженность страховой организации перед этим контрагентом. При наличии задолженностей перед страховой организацией с разными сроками возникновения уменьшение таких задолженностей на кредиторскую задолженность страховой организации </w:t>
      </w:r>
      <w:proofErr w:type="gramStart"/>
      <w:r w:rsidRPr="00D84B9F">
        <w:rPr>
          <w:rFonts w:ascii="Times New Roman" w:hAnsi="Times New Roman" w:cs="Times New Roman"/>
          <w:sz w:val="24"/>
          <w:szCs w:val="24"/>
        </w:rPr>
        <w:t>производится</w:t>
      </w:r>
      <w:proofErr w:type="gramEnd"/>
      <w:r w:rsidRPr="00D84B9F">
        <w:rPr>
          <w:rFonts w:ascii="Times New Roman" w:hAnsi="Times New Roman" w:cs="Times New Roman"/>
          <w:sz w:val="24"/>
          <w:szCs w:val="24"/>
        </w:rPr>
        <w:t xml:space="preserve"> начиная с первой по времени возникновения;</w:t>
      </w:r>
    </w:p>
    <w:p w:rsidR="00462AB7" w:rsidRPr="00D84B9F" w:rsidRDefault="00D84B9F" w:rsidP="00D84B9F">
      <w:pPr>
        <w:pStyle w:val="ad"/>
        <w:tabs>
          <w:tab w:val="left" w:pos="993"/>
          <w:tab w:val="left" w:pos="1276"/>
        </w:tabs>
        <w:spacing w:after="0" w:line="240" w:lineRule="auto"/>
        <w:ind w:left="0" w:firstLine="709"/>
        <w:jc w:val="both"/>
        <w:outlineLvl w:val="0"/>
        <w:rPr>
          <w:rFonts w:ascii="Times New Roman" w:eastAsia="Times New Roman" w:hAnsi="Times New Roman" w:cs="Times New Roman"/>
          <w:sz w:val="24"/>
          <w:szCs w:val="24"/>
        </w:rPr>
      </w:pPr>
      <w:r w:rsidRPr="00D84B9F">
        <w:rPr>
          <w:rFonts w:ascii="Times New Roman" w:hAnsi="Times New Roman" w:cs="Times New Roman"/>
          <w:sz w:val="24"/>
          <w:szCs w:val="24"/>
        </w:rPr>
        <w:t>г) резерв под обесценение дебиторской задолженности (далее – резерв по сомнительным долгам) – это величина, отражающая размер возможных потерь страховой организации от обесценения дебиторской задолженности.</w:t>
      </w:r>
      <w:r>
        <w:rPr>
          <w:rFonts w:ascii="Times New Roman" w:hAnsi="Times New Roman" w:cs="Times New Roman"/>
          <w:sz w:val="24"/>
          <w:szCs w:val="24"/>
        </w:rPr>
        <w:t xml:space="preserve"> (Изменено Указанием от 22.08.2019 </w:t>
      </w:r>
      <w:r>
        <w:rPr>
          <w:rFonts w:ascii="Times New Roman" w:hAnsi="Times New Roman" w:cs="Times New Roman"/>
          <w:sz w:val="24"/>
          <w:szCs w:val="24"/>
          <w:lang w:val="en-US"/>
        </w:rPr>
        <w:t>N 1179-</w:t>
      </w:r>
      <w:r>
        <w:rPr>
          <w:rFonts w:ascii="Times New Roman" w:hAnsi="Times New Roman" w:cs="Times New Roman"/>
          <w:sz w:val="24"/>
          <w:szCs w:val="24"/>
        </w:rPr>
        <w:t>У).</w:t>
      </w:r>
    </w:p>
    <w:p w:rsidR="00E72289" w:rsidRPr="004D2D18" w:rsidRDefault="00E72289" w:rsidP="00BC2953">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F7ED1" w:rsidRPr="008D3D11" w:rsidRDefault="00570BA3" w:rsidP="00E03063">
      <w:pPr>
        <w:tabs>
          <w:tab w:val="left" w:pos="993"/>
        </w:tabs>
        <w:spacing w:after="0" w:line="240" w:lineRule="auto"/>
        <w:jc w:val="center"/>
        <w:outlineLvl w:val="0"/>
        <w:rPr>
          <w:rFonts w:ascii="Times New Roman" w:eastAsia="Times New Roman" w:hAnsi="Times New Roman" w:cs="Times New Roman"/>
          <w:sz w:val="24"/>
          <w:szCs w:val="24"/>
        </w:rPr>
      </w:pPr>
      <w:r w:rsidRPr="008D3D11">
        <w:rPr>
          <w:rFonts w:ascii="Times New Roman" w:hAnsi="Times New Roman" w:cs="Times New Roman"/>
          <w:kern w:val="36"/>
          <w:sz w:val="24"/>
          <w:szCs w:val="24"/>
        </w:rPr>
        <w:t>Глава 2</w:t>
      </w:r>
      <w:r w:rsidR="00870A9A" w:rsidRPr="008D3D11">
        <w:rPr>
          <w:rFonts w:ascii="Times New Roman" w:hAnsi="Times New Roman" w:cs="Times New Roman"/>
          <w:kern w:val="36"/>
          <w:sz w:val="24"/>
          <w:szCs w:val="24"/>
        </w:rPr>
        <w:t xml:space="preserve">. </w:t>
      </w:r>
      <w:r w:rsidR="00FC0D34" w:rsidRPr="00897D12">
        <w:rPr>
          <w:rFonts w:ascii="Times New Roman" w:hAnsi="Times New Roman" w:cs="Times New Roman"/>
          <w:kern w:val="36"/>
          <w:sz w:val="24"/>
          <w:szCs w:val="24"/>
        </w:rPr>
        <w:t>Методика</w:t>
      </w:r>
      <w:r w:rsidR="005F0FE2" w:rsidRPr="008D3D11">
        <w:rPr>
          <w:rFonts w:ascii="Times New Roman" w:hAnsi="Times New Roman" w:cs="Times New Roman"/>
          <w:kern w:val="36"/>
          <w:sz w:val="24"/>
          <w:szCs w:val="24"/>
        </w:rPr>
        <w:t xml:space="preserve"> расчета</w:t>
      </w:r>
      <w:r w:rsidR="005F0FE2" w:rsidRPr="008D3D11">
        <w:rPr>
          <w:rFonts w:ascii="Times New Roman" w:eastAsia="Times New Roman" w:hAnsi="Times New Roman" w:cs="Times New Roman"/>
          <w:sz w:val="24"/>
          <w:szCs w:val="24"/>
        </w:rPr>
        <w:t xml:space="preserve"> стоимости чистых активов</w:t>
      </w:r>
    </w:p>
    <w:p w:rsidR="00570BA3" w:rsidRPr="008D3D11" w:rsidRDefault="005F0FE2" w:rsidP="00E03063">
      <w:pPr>
        <w:tabs>
          <w:tab w:val="left" w:pos="993"/>
        </w:tabs>
        <w:spacing w:after="0" w:line="240" w:lineRule="auto"/>
        <w:jc w:val="center"/>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страхов</w:t>
      </w:r>
      <w:r w:rsidR="007313CA">
        <w:rPr>
          <w:rFonts w:ascii="Times New Roman" w:eastAsia="Times New Roman" w:hAnsi="Times New Roman" w:cs="Times New Roman"/>
          <w:sz w:val="24"/>
          <w:szCs w:val="24"/>
        </w:rPr>
        <w:t>ой</w:t>
      </w:r>
      <w:r w:rsidRPr="008D3D11">
        <w:rPr>
          <w:rFonts w:ascii="Times New Roman" w:eastAsia="Times New Roman" w:hAnsi="Times New Roman" w:cs="Times New Roman"/>
          <w:sz w:val="24"/>
          <w:szCs w:val="24"/>
        </w:rPr>
        <w:t xml:space="preserve"> организаци</w:t>
      </w:r>
      <w:r w:rsidR="007313CA">
        <w:rPr>
          <w:rFonts w:ascii="Times New Roman" w:eastAsia="Times New Roman" w:hAnsi="Times New Roman" w:cs="Times New Roman"/>
          <w:sz w:val="24"/>
          <w:szCs w:val="24"/>
        </w:rPr>
        <w:t>и</w:t>
      </w:r>
    </w:p>
    <w:p w:rsidR="004708B2" w:rsidRPr="008D3D11" w:rsidRDefault="004708B2" w:rsidP="00E03063">
      <w:pPr>
        <w:tabs>
          <w:tab w:val="left" w:pos="993"/>
        </w:tabs>
        <w:spacing w:after="0" w:line="240" w:lineRule="auto"/>
        <w:jc w:val="center"/>
        <w:outlineLvl w:val="0"/>
        <w:rPr>
          <w:rFonts w:ascii="Times New Roman" w:hAnsi="Times New Roman" w:cs="Times New Roman"/>
          <w:kern w:val="36"/>
          <w:sz w:val="24"/>
          <w:szCs w:val="24"/>
        </w:rPr>
      </w:pPr>
    </w:p>
    <w:p w:rsidR="00066BA6" w:rsidRPr="008F0343" w:rsidRDefault="008F0343" w:rsidP="008F0343">
      <w:pPr>
        <w:tabs>
          <w:tab w:val="left" w:pos="1134"/>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66BA6" w:rsidRPr="008F0343">
        <w:rPr>
          <w:rFonts w:ascii="Times New Roman" w:eastAsia="Times New Roman" w:hAnsi="Times New Roman" w:cs="Times New Roman"/>
          <w:sz w:val="24"/>
          <w:szCs w:val="24"/>
        </w:rPr>
        <w:t xml:space="preserve">В состав активов, принимаемых к расчету, включаются </w:t>
      </w:r>
      <w:r w:rsidR="00E72138" w:rsidRPr="008F0343">
        <w:rPr>
          <w:rFonts w:ascii="Times New Roman" w:eastAsia="Times New Roman" w:hAnsi="Times New Roman" w:cs="Times New Roman"/>
          <w:sz w:val="24"/>
          <w:szCs w:val="24"/>
        </w:rPr>
        <w:t xml:space="preserve">следующие </w:t>
      </w:r>
      <w:r w:rsidR="00FC0D34" w:rsidRPr="008F0343">
        <w:rPr>
          <w:rFonts w:ascii="Times New Roman" w:eastAsia="Times New Roman" w:hAnsi="Times New Roman" w:cs="Times New Roman"/>
          <w:sz w:val="24"/>
          <w:szCs w:val="24"/>
        </w:rPr>
        <w:t xml:space="preserve">(с учетом требований настоящей </w:t>
      </w:r>
      <w:r w:rsidR="0032237B" w:rsidRPr="008F0343">
        <w:rPr>
          <w:rFonts w:ascii="Times New Roman" w:eastAsia="Times New Roman" w:hAnsi="Times New Roman" w:cs="Times New Roman"/>
          <w:sz w:val="24"/>
          <w:szCs w:val="24"/>
        </w:rPr>
        <w:t>И</w:t>
      </w:r>
      <w:r w:rsidR="00FC0D34" w:rsidRPr="008F0343">
        <w:rPr>
          <w:rFonts w:ascii="Times New Roman" w:eastAsia="Times New Roman" w:hAnsi="Times New Roman" w:cs="Times New Roman"/>
          <w:sz w:val="24"/>
          <w:szCs w:val="24"/>
        </w:rPr>
        <w:t>нструкции)</w:t>
      </w:r>
      <w:r w:rsidR="00E72138" w:rsidRPr="008F0343">
        <w:rPr>
          <w:rFonts w:ascii="Times New Roman" w:eastAsia="Times New Roman" w:hAnsi="Times New Roman" w:cs="Times New Roman"/>
          <w:sz w:val="24"/>
          <w:szCs w:val="24"/>
        </w:rPr>
        <w:t>:</w:t>
      </w:r>
    </w:p>
    <w:p w:rsidR="00066BA6" w:rsidRPr="008D3D11" w:rsidRDefault="00066BA6"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а)</w:t>
      </w:r>
      <w:r w:rsidR="00607B63"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нематериальные активы</w:t>
      </w:r>
      <w:r w:rsidRPr="008D3D11">
        <w:rPr>
          <w:rFonts w:ascii="Times New Roman" w:eastAsia="Times New Roman" w:hAnsi="Times New Roman" w:cs="Times New Roman"/>
          <w:sz w:val="24"/>
          <w:szCs w:val="24"/>
        </w:rPr>
        <w:t>;</w:t>
      </w:r>
    </w:p>
    <w:p w:rsidR="00B82C5C" w:rsidRPr="008D3D11" w:rsidRDefault="00066BA6"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б)</w:t>
      </w:r>
      <w:r w:rsidR="00607B63"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долгосрочные материальные активы;</w:t>
      </w:r>
    </w:p>
    <w:p w:rsidR="00B82C5C" w:rsidRPr="008D3D11" w:rsidRDefault="00066BA6"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в)</w:t>
      </w:r>
      <w:r w:rsidR="00607B63"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долгосрочные финансовые активы</w:t>
      </w:r>
      <w:r w:rsidR="00CD4CB0" w:rsidRPr="008D3D11">
        <w:rPr>
          <w:rFonts w:ascii="Times New Roman" w:eastAsia="Times New Roman" w:hAnsi="Times New Roman" w:cs="Times New Roman"/>
          <w:sz w:val="24"/>
          <w:szCs w:val="24"/>
        </w:rPr>
        <w:t>;</w:t>
      </w:r>
    </w:p>
    <w:p w:rsidR="00E72138" w:rsidRPr="008D3D11" w:rsidRDefault="00066BA6"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г)</w:t>
      </w:r>
      <w:r w:rsidR="00607B63" w:rsidRPr="008D3D11">
        <w:rPr>
          <w:rFonts w:ascii="Times New Roman" w:eastAsia="Times New Roman" w:hAnsi="Times New Roman" w:cs="Times New Roman"/>
          <w:sz w:val="24"/>
          <w:szCs w:val="24"/>
        </w:rPr>
        <w:tab/>
      </w:r>
      <w:r w:rsidR="00E72138" w:rsidRPr="008D3D11">
        <w:rPr>
          <w:rFonts w:ascii="Times New Roman" w:eastAsia="Times New Roman" w:hAnsi="Times New Roman" w:cs="Times New Roman"/>
          <w:sz w:val="24"/>
          <w:szCs w:val="24"/>
        </w:rPr>
        <w:t>деловая репутация (гудвилл)</w:t>
      </w:r>
      <w:r w:rsidR="00C227AD" w:rsidRPr="008D3D11">
        <w:rPr>
          <w:rFonts w:ascii="Times New Roman" w:eastAsia="Times New Roman" w:hAnsi="Times New Roman" w:cs="Times New Roman"/>
          <w:sz w:val="24"/>
          <w:szCs w:val="24"/>
        </w:rPr>
        <w:t>;</w:t>
      </w:r>
    </w:p>
    <w:p w:rsidR="00B82C5C" w:rsidRPr="008D3D11" w:rsidRDefault="00E72138"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д)</w:t>
      </w:r>
      <w:r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запасы</w:t>
      </w:r>
      <w:r w:rsidR="00CD4CB0" w:rsidRPr="008D3D11">
        <w:rPr>
          <w:rFonts w:ascii="Times New Roman" w:eastAsia="Times New Roman" w:hAnsi="Times New Roman" w:cs="Times New Roman"/>
          <w:sz w:val="24"/>
          <w:szCs w:val="24"/>
        </w:rPr>
        <w:t>;</w:t>
      </w:r>
    </w:p>
    <w:p w:rsidR="00181B62" w:rsidRPr="008D3D11" w:rsidRDefault="00E72138"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е</w:t>
      </w:r>
      <w:r w:rsidR="00B82C5C" w:rsidRPr="008D3D11">
        <w:rPr>
          <w:rFonts w:ascii="Times New Roman" w:eastAsia="Times New Roman" w:hAnsi="Times New Roman" w:cs="Times New Roman"/>
          <w:sz w:val="24"/>
          <w:szCs w:val="24"/>
        </w:rPr>
        <w:t>)</w:t>
      </w:r>
      <w:r w:rsidR="00607B63" w:rsidRPr="008D3D11">
        <w:rPr>
          <w:rFonts w:ascii="Times New Roman" w:eastAsia="Times New Roman" w:hAnsi="Times New Roman" w:cs="Times New Roman"/>
          <w:sz w:val="24"/>
          <w:szCs w:val="24"/>
        </w:rPr>
        <w:tab/>
      </w:r>
      <w:r w:rsidR="00181B62" w:rsidRPr="008D3D11">
        <w:rPr>
          <w:rFonts w:ascii="Times New Roman" w:eastAsia="Times New Roman" w:hAnsi="Times New Roman" w:cs="Times New Roman"/>
          <w:sz w:val="24"/>
          <w:szCs w:val="24"/>
        </w:rPr>
        <w:t>долгосрочные активы и (или) группы выбытия, удерживаемые для продажи;</w:t>
      </w:r>
    </w:p>
    <w:p w:rsidR="00066BA6" w:rsidRPr="008D3D11" w:rsidRDefault="00181B62"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ж)</w:t>
      </w:r>
      <w:r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краткосрочная торговая и прочая дебиторская задолженность</w:t>
      </w:r>
      <w:r w:rsidR="00066BA6" w:rsidRPr="008D3D11">
        <w:rPr>
          <w:rFonts w:ascii="Times New Roman" w:eastAsia="Times New Roman" w:hAnsi="Times New Roman" w:cs="Times New Roman"/>
          <w:sz w:val="24"/>
          <w:szCs w:val="24"/>
        </w:rPr>
        <w:t>;</w:t>
      </w:r>
    </w:p>
    <w:p w:rsidR="00E03063" w:rsidRPr="008D3D11" w:rsidRDefault="00181B6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з</w:t>
      </w:r>
      <w:r w:rsidR="00B82C5C" w:rsidRPr="008D3D11">
        <w:rPr>
          <w:rFonts w:ascii="Times New Roman" w:eastAsia="Times New Roman" w:hAnsi="Times New Roman" w:cs="Times New Roman"/>
          <w:sz w:val="24"/>
          <w:szCs w:val="24"/>
        </w:rPr>
        <w:t>)</w:t>
      </w:r>
      <w:r w:rsidR="00607B63"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финансовые активы</w:t>
      </w:r>
      <w:r w:rsidR="00066BA6" w:rsidRPr="008D3D11">
        <w:rPr>
          <w:rFonts w:ascii="Times New Roman" w:eastAsia="Times New Roman" w:hAnsi="Times New Roman" w:cs="Times New Roman"/>
          <w:sz w:val="24"/>
          <w:szCs w:val="24"/>
        </w:rPr>
        <w:t>;</w:t>
      </w:r>
    </w:p>
    <w:p w:rsidR="00E03063" w:rsidRPr="008D3D11"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hAnsi="Times New Roman" w:cs="Times New Roman"/>
          <w:bCs/>
          <w:kern w:val="36"/>
          <w:sz w:val="24"/>
          <w:szCs w:val="24"/>
        </w:rPr>
        <w:t>и)</w:t>
      </w:r>
      <w:r w:rsidRPr="008D3D11">
        <w:rPr>
          <w:rFonts w:ascii="Times New Roman" w:hAnsi="Times New Roman" w:cs="Times New Roman"/>
          <w:bCs/>
          <w:kern w:val="36"/>
          <w:sz w:val="24"/>
          <w:szCs w:val="24"/>
        </w:rPr>
        <w:tab/>
      </w:r>
      <w:r w:rsidRPr="008D3D11">
        <w:rPr>
          <w:rFonts w:ascii="Times New Roman" w:eastAsia="Times New Roman" w:hAnsi="Times New Roman" w:cs="Times New Roman"/>
          <w:sz w:val="24"/>
          <w:szCs w:val="24"/>
        </w:rPr>
        <w:t>доля перестраховщиков в страховых резервах;</w:t>
      </w:r>
    </w:p>
    <w:p w:rsidR="00066BA6" w:rsidRPr="008D3D11"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к)</w:t>
      </w:r>
      <w:r w:rsidR="002A0BAD">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денежные средства и денежные эквиваленты</w:t>
      </w:r>
      <w:r w:rsidR="00BF15D9" w:rsidRPr="008D3D11">
        <w:rPr>
          <w:rFonts w:ascii="Times New Roman" w:eastAsia="Times New Roman" w:hAnsi="Times New Roman" w:cs="Times New Roman"/>
          <w:sz w:val="24"/>
          <w:szCs w:val="24"/>
        </w:rPr>
        <w:t>;</w:t>
      </w:r>
    </w:p>
    <w:p w:rsidR="00BF15D9" w:rsidRPr="004D2D18"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л</w:t>
      </w:r>
      <w:r w:rsidR="00BF15D9" w:rsidRPr="004D2D18">
        <w:rPr>
          <w:rFonts w:ascii="Times New Roman" w:eastAsia="Times New Roman" w:hAnsi="Times New Roman" w:cs="Times New Roman"/>
          <w:sz w:val="24"/>
          <w:szCs w:val="24"/>
        </w:rPr>
        <w:t>)</w:t>
      </w:r>
      <w:r w:rsidR="00607B63" w:rsidRPr="004D2D18">
        <w:rPr>
          <w:rFonts w:ascii="Times New Roman" w:eastAsia="Times New Roman" w:hAnsi="Times New Roman" w:cs="Times New Roman"/>
          <w:sz w:val="24"/>
          <w:szCs w:val="24"/>
        </w:rPr>
        <w:tab/>
      </w:r>
      <w:r w:rsidR="00BF15D9" w:rsidRPr="004D2D18">
        <w:rPr>
          <w:rFonts w:ascii="Times New Roman" w:eastAsia="Times New Roman" w:hAnsi="Times New Roman" w:cs="Times New Roman"/>
          <w:sz w:val="24"/>
          <w:szCs w:val="24"/>
        </w:rPr>
        <w:t>иные активы.</w:t>
      </w:r>
    </w:p>
    <w:p w:rsidR="001F32C6" w:rsidRDefault="001F32C6" w:rsidP="005A5E7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 xml:space="preserve">Если существует объективное свидетельство понесения убытка от обесценения дебиторской задолженности, то балансовая стоимость актива должна быть уменьшена на величину </w:t>
      </w:r>
      <w:r w:rsidR="005E3810" w:rsidRPr="004D2D18">
        <w:rPr>
          <w:rFonts w:ascii="Times New Roman" w:eastAsia="Times New Roman" w:hAnsi="Times New Roman" w:cs="Times New Roman"/>
          <w:sz w:val="24"/>
          <w:szCs w:val="24"/>
        </w:rPr>
        <w:t>рассчитанного</w:t>
      </w:r>
      <w:r w:rsidRPr="004D2D18">
        <w:rPr>
          <w:rFonts w:ascii="Times New Roman" w:eastAsia="Times New Roman" w:hAnsi="Times New Roman" w:cs="Times New Roman"/>
          <w:sz w:val="24"/>
          <w:szCs w:val="24"/>
        </w:rPr>
        <w:t xml:space="preserve"> резерва по сомнительным долгам. </w:t>
      </w:r>
    </w:p>
    <w:p w:rsidR="002E63A6" w:rsidRPr="00D84B9F" w:rsidRDefault="002E63A6" w:rsidP="002E63A6">
      <w:pPr>
        <w:pStyle w:val="ad"/>
        <w:tabs>
          <w:tab w:val="left" w:pos="993"/>
          <w:tab w:val="left" w:pos="1276"/>
        </w:tabs>
        <w:spacing w:after="0" w:line="240" w:lineRule="auto"/>
        <w:ind w:left="0" w:firstLine="709"/>
        <w:jc w:val="both"/>
        <w:outlineLvl w:val="0"/>
        <w:rPr>
          <w:rFonts w:ascii="Times New Roman" w:eastAsia="Times New Roman" w:hAnsi="Times New Roman" w:cs="Times New Roman"/>
          <w:sz w:val="24"/>
          <w:szCs w:val="24"/>
        </w:rPr>
      </w:pPr>
      <w:r w:rsidRPr="00B03A58">
        <w:rPr>
          <w:rFonts w:ascii="Times New Roman" w:hAnsi="Times New Roman"/>
          <w:sz w:val="24"/>
          <w:szCs w:val="24"/>
        </w:rPr>
        <w:t>При этом суммы задолженности по взносам учредителей (участников, акционеров) по взносам (вкладам) в уставный капитал (уставный фонд), по оплате акций не включаются в состав активов, принимаемых к расчету.</w:t>
      </w:r>
      <w:r>
        <w:rPr>
          <w:rFonts w:ascii="Times New Roman" w:hAnsi="Times New Roman"/>
          <w:sz w:val="24"/>
          <w:szCs w:val="24"/>
        </w:rPr>
        <w:t xml:space="preserve"> </w:t>
      </w:r>
      <w:r>
        <w:rPr>
          <w:rFonts w:ascii="Times New Roman" w:hAnsi="Times New Roman" w:cs="Times New Roman"/>
          <w:sz w:val="24"/>
          <w:szCs w:val="24"/>
        </w:rPr>
        <w:t xml:space="preserve">(Дополнен Указанием от 22.08.2019 </w:t>
      </w:r>
      <w:r>
        <w:rPr>
          <w:rFonts w:ascii="Times New Roman" w:hAnsi="Times New Roman" w:cs="Times New Roman"/>
          <w:sz w:val="24"/>
          <w:szCs w:val="24"/>
          <w:lang w:val="en-US"/>
        </w:rPr>
        <w:t>N</w:t>
      </w:r>
      <w:r w:rsidRPr="00B148EC">
        <w:rPr>
          <w:rFonts w:ascii="Times New Roman" w:hAnsi="Times New Roman" w:cs="Times New Roman"/>
          <w:sz w:val="24"/>
          <w:szCs w:val="24"/>
        </w:rPr>
        <w:t xml:space="preserve"> 1179-</w:t>
      </w:r>
      <w:r>
        <w:rPr>
          <w:rFonts w:ascii="Times New Roman" w:hAnsi="Times New Roman" w:cs="Times New Roman"/>
          <w:sz w:val="24"/>
          <w:szCs w:val="24"/>
        </w:rPr>
        <w:t>У).</w:t>
      </w:r>
    </w:p>
    <w:p w:rsidR="002E63A6" w:rsidRPr="004D2D18" w:rsidRDefault="002E63A6" w:rsidP="005A5E7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84E39" w:rsidRPr="008F0343" w:rsidRDefault="008F0343" w:rsidP="008F0343">
      <w:pPr>
        <w:tabs>
          <w:tab w:val="left" w:pos="1134"/>
        </w:tabs>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00484E39" w:rsidRPr="008F0343">
        <w:rPr>
          <w:rFonts w:ascii="Times New Roman" w:eastAsia="Times New Roman" w:hAnsi="Times New Roman" w:cs="Times New Roman"/>
          <w:sz w:val="24"/>
          <w:szCs w:val="24"/>
        </w:rPr>
        <w:t xml:space="preserve">В состав </w:t>
      </w:r>
      <w:r w:rsidR="00E72138" w:rsidRPr="008F0343">
        <w:rPr>
          <w:rFonts w:ascii="Times New Roman" w:eastAsia="Times New Roman" w:hAnsi="Times New Roman" w:cs="Times New Roman"/>
          <w:sz w:val="24"/>
          <w:szCs w:val="24"/>
        </w:rPr>
        <w:t>обязательств</w:t>
      </w:r>
      <w:r w:rsidR="00484E39" w:rsidRPr="008F0343">
        <w:rPr>
          <w:rFonts w:ascii="Times New Roman" w:eastAsia="Times New Roman" w:hAnsi="Times New Roman" w:cs="Times New Roman"/>
          <w:sz w:val="24"/>
          <w:szCs w:val="24"/>
        </w:rPr>
        <w:t>, принимаемых к расчету, включаются</w:t>
      </w:r>
      <w:r w:rsidR="00E72138" w:rsidRPr="008F0343">
        <w:rPr>
          <w:rFonts w:ascii="Times New Roman" w:eastAsia="Times New Roman" w:hAnsi="Times New Roman" w:cs="Times New Roman"/>
          <w:sz w:val="24"/>
          <w:szCs w:val="24"/>
        </w:rPr>
        <w:t xml:space="preserve"> следующие </w:t>
      </w:r>
      <w:r w:rsidR="007313CA" w:rsidRPr="008F0343">
        <w:rPr>
          <w:rFonts w:ascii="Times New Roman" w:eastAsia="Times New Roman" w:hAnsi="Times New Roman" w:cs="Times New Roman"/>
          <w:sz w:val="24"/>
          <w:szCs w:val="24"/>
        </w:rPr>
        <w:t>(с учетом требований настоящей И</w:t>
      </w:r>
      <w:r w:rsidR="00FC0D34" w:rsidRPr="008F0343">
        <w:rPr>
          <w:rFonts w:ascii="Times New Roman" w:eastAsia="Times New Roman" w:hAnsi="Times New Roman" w:cs="Times New Roman"/>
          <w:sz w:val="24"/>
          <w:szCs w:val="24"/>
        </w:rPr>
        <w:t>нструкции)</w:t>
      </w:r>
      <w:r w:rsidR="00484E39" w:rsidRPr="008F0343">
        <w:rPr>
          <w:rFonts w:ascii="Times New Roman" w:eastAsia="Times New Roman" w:hAnsi="Times New Roman" w:cs="Times New Roman"/>
          <w:sz w:val="24"/>
          <w:szCs w:val="24"/>
        </w:rPr>
        <w:t>:</w:t>
      </w:r>
    </w:p>
    <w:p w:rsidR="00E72138" w:rsidRPr="008D3D11" w:rsidRDefault="00484E39"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а)</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долгосрочные финансовые обязательства;</w:t>
      </w:r>
    </w:p>
    <w:p w:rsidR="00CD4CB0" w:rsidRPr="008D3D11" w:rsidRDefault="00E72138"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б)</w:t>
      </w:r>
      <w:r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прочие долгосрочные начисленные обязательства;</w:t>
      </w:r>
    </w:p>
    <w:p w:rsidR="00C227AD" w:rsidRPr="008D3D11" w:rsidRDefault="00C227AD"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в)</w:t>
      </w:r>
      <w:r w:rsidRPr="008D3D11">
        <w:rPr>
          <w:rFonts w:ascii="Times New Roman" w:eastAsia="Times New Roman" w:hAnsi="Times New Roman" w:cs="Times New Roman"/>
          <w:sz w:val="24"/>
          <w:szCs w:val="24"/>
        </w:rPr>
        <w:tab/>
        <w:t>долгосрочные оценочные обязательства (резервы);</w:t>
      </w:r>
    </w:p>
    <w:p w:rsidR="00201B27"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г)</w:t>
      </w:r>
      <w:r w:rsidRPr="008D3D11">
        <w:rPr>
          <w:rFonts w:ascii="Times New Roman" w:eastAsia="Times New Roman" w:hAnsi="Times New Roman" w:cs="Times New Roman"/>
          <w:sz w:val="24"/>
          <w:szCs w:val="24"/>
        </w:rPr>
        <w:tab/>
        <w:t>страховые резервы и фонды</w:t>
      </w:r>
      <w:r w:rsidR="00E03063" w:rsidRPr="008D3D11">
        <w:rPr>
          <w:rFonts w:ascii="Times New Roman" w:eastAsia="Times New Roman" w:hAnsi="Times New Roman" w:cs="Times New Roman"/>
          <w:sz w:val="24"/>
          <w:szCs w:val="24"/>
        </w:rPr>
        <w:t>;</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д</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финансовые обязательства;</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е</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краткосрочная торговая кредиторская задолженность;</w:t>
      </w:r>
    </w:p>
    <w:p w:rsidR="00FC0D34"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ж</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прочая краткосрочная кредиторская задолженность;</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з</w:t>
      </w:r>
      <w:r w:rsidR="00E72138" w:rsidRPr="008D3D11">
        <w:rPr>
          <w:rFonts w:ascii="Times New Roman" w:eastAsia="Times New Roman" w:hAnsi="Times New Roman" w:cs="Times New Roman"/>
          <w:sz w:val="24"/>
          <w:szCs w:val="24"/>
        </w:rPr>
        <w:t>)</w:t>
      </w:r>
      <w:r w:rsidR="00E72138"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оценочные обязательства (резервы);</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и</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9641A1" w:rsidRPr="008D3D11">
        <w:rPr>
          <w:rFonts w:ascii="Times New Roman" w:eastAsia="Times New Roman" w:hAnsi="Times New Roman" w:cs="Times New Roman"/>
          <w:sz w:val="24"/>
          <w:szCs w:val="24"/>
        </w:rPr>
        <w:t>краткосрочные обязательства по страхованию, перестрахованию и сострахованию</w:t>
      </w:r>
      <w:r w:rsidR="00CD4CB0" w:rsidRPr="008D3D11">
        <w:rPr>
          <w:rFonts w:ascii="Times New Roman" w:eastAsia="Times New Roman" w:hAnsi="Times New Roman" w:cs="Times New Roman"/>
          <w:sz w:val="24"/>
          <w:szCs w:val="24"/>
        </w:rPr>
        <w:t>;</w:t>
      </w:r>
    </w:p>
    <w:p w:rsidR="00CD4CB0" w:rsidRPr="008D3D11" w:rsidRDefault="004708B2" w:rsidP="005A5E72">
      <w:pPr>
        <w:tabs>
          <w:tab w:val="left" w:pos="1134"/>
          <w:tab w:val="left" w:pos="3922"/>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к</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прочие обязательства.</w:t>
      </w:r>
    </w:p>
    <w:p w:rsidR="007313CA" w:rsidRPr="002E63A6" w:rsidRDefault="002E63A6" w:rsidP="002E63A6">
      <w:pPr>
        <w:tabs>
          <w:tab w:val="left" w:pos="1134"/>
        </w:tabs>
        <w:spacing w:after="0" w:line="240" w:lineRule="auto"/>
        <w:ind w:firstLine="709"/>
        <w:jc w:val="both"/>
        <w:outlineLvl w:val="0"/>
        <w:rPr>
          <w:rFonts w:ascii="Times New Roman CE" w:eastAsia="Times New Roman" w:hAnsi="Times New Roman CE" w:cs="Times New Roman"/>
          <w:color w:val="000000"/>
          <w:sz w:val="24"/>
          <w:szCs w:val="24"/>
        </w:rPr>
      </w:pPr>
      <w:r>
        <w:rPr>
          <w:rFonts w:ascii="Times New Roman CE" w:eastAsia="Times New Roman" w:hAnsi="Times New Roman CE" w:cs="Times New Roman"/>
          <w:color w:val="000000"/>
          <w:sz w:val="24"/>
          <w:szCs w:val="24"/>
        </w:rPr>
        <w:t xml:space="preserve">7. </w:t>
      </w:r>
      <w:r w:rsidR="007313CA" w:rsidRPr="002E63A6">
        <w:rPr>
          <w:rFonts w:ascii="Times New Roman CE" w:eastAsia="Times New Roman" w:hAnsi="Times New Roman CE" w:cs="Times New Roman"/>
          <w:color w:val="000000"/>
          <w:sz w:val="24"/>
          <w:szCs w:val="24"/>
        </w:rPr>
        <w:t>В целях расчета стоимости чистых активов страховой организации на конец каждого отчетного периода, установленного в настоящей Инструкции, следует оценивать (переоценивать) активы (обязательства) по справедливой стоимости посредством отражения в учете сумм переоценки либо путем расчета резерва по сомнительным долгам.</w:t>
      </w:r>
    </w:p>
    <w:p w:rsidR="007313CA" w:rsidRPr="002E63A6" w:rsidRDefault="002E63A6" w:rsidP="002E63A6">
      <w:pPr>
        <w:tabs>
          <w:tab w:val="left" w:pos="1134"/>
        </w:tabs>
        <w:spacing w:after="0" w:line="240" w:lineRule="auto"/>
        <w:ind w:firstLine="709"/>
        <w:jc w:val="both"/>
        <w:outlineLvl w:val="0"/>
        <w:rPr>
          <w:rFonts w:ascii="Times New Roman CE" w:eastAsia="Times New Roman" w:hAnsi="Times New Roman CE" w:cs="Times New Roman"/>
          <w:color w:val="000000"/>
          <w:sz w:val="24"/>
          <w:szCs w:val="24"/>
        </w:rPr>
      </w:pPr>
      <w:r>
        <w:rPr>
          <w:rFonts w:ascii="Times New Roman CE" w:eastAsia="Times New Roman" w:hAnsi="Times New Roman CE" w:cs="Times New Roman"/>
          <w:color w:val="000000"/>
          <w:sz w:val="24"/>
          <w:szCs w:val="24"/>
        </w:rPr>
        <w:t xml:space="preserve">8. </w:t>
      </w:r>
      <w:r w:rsidR="007313CA" w:rsidRPr="002E63A6">
        <w:rPr>
          <w:rFonts w:ascii="Times New Roman CE" w:eastAsia="Times New Roman" w:hAnsi="Times New Roman CE" w:cs="Times New Roman"/>
          <w:color w:val="000000"/>
          <w:sz w:val="24"/>
          <w:szCs w:val="24"/>
        </w:rPr>
        <w:t>Резерв по сомнительным долгам рассчитывается страховой организацией согласно требованиям, изложенным в Приложении №</w:t>
      </w:r>
      <w:r w:rsidR="005A5E72" w:rsidRPr="002E63A6">
        <w:rPr>
          <w:rFonts w:ascii="Times New Roman CE" w:eastAsia="Times New Roman" w:hAnsi="Times New Roman CE" w:cs="Times New Roman"/>
          <w:color w:val="000000"/>
          <w:sz w:val="24"/>
          <w:szCs w:val="24"/>
        </w:rPr>
        <w:t> </w:t>
      </w:r>
      <w:r w:rsidR="007313CA" w:rsidRPr="002E63A6">
        <w:rPr>
          <w:rFonts w:ascii="Times New Roman CE" w:eastAsia="Times New Roman" w:hAnsi="Times New Roman CE" w:cs="Times New Roman"/>
          <w:color w:val="000000"/>
          <w:sz w:val="24"/>
          <w:szCs w:val="24"/>
        </w:rPr>
        <w:t>1 к настоящей Инструкции.</w:t>
      </w:r>
    </w:p>
    <w:p w:rsidR="002E63A6" w:rsidRPr="00D84B9F" w:rsidRDefault="002E63A6" w:rsidP="002E63A6">
      <w:pPr>
        <w:pStyle w:val="ad"/>
        <w:tabs>
          <w:tab w:val="left" w:pos="993"/>
          <w:tab w:val="left" w:pos="1276"/>
        </w:tabs>
        <w:spacing w:after="0" w:line="240" w:lineRule="auto"/>
        <w:ind w:left="0" w:firstLine="709"/>
        <w:jc w:val="both"/>
        <w:outlineLvl w:val="0"/>
        <w:rPr>
          <w:rFonts w:ascii="Times New Roman" w:eastAsia="Times New Roman" w:hAnsi="Times New Roman" w:cs="Times New Roman"/>
          <w:sz w:val="24"/>
          <w:szCs w:val="24"/>
        </w:rPr>
      </w:pPr>
      <w:r>
        <w:rPr>
          <w:rFonts w:ascii="Times New Roman CE" w:eastAsia="Times New Roman" w:hAnsi="Times New Roman CE" w:cs="Times New Roman"/>
          <w:color w:val="000000"/>
          <w:sz w:val="24"/>
          <w:szCs w:val="24"/>
        </w:rPr>
        <w:t xml:space="preserve">9. </w:t>
      </w:r>
      <w:r w:rsidRPr="00B03A58">
        <w:rPr>
          <w:rFonts w:ascii="Times New Roman" w:hAnsi="Times New Roman"/>
          <w:sz w:val="24"/>
          <w:szCs w:val="24"/>
        </w:rPr>
        <w:t>Активы и обязательства включаются в расчет стоимости чистых активов по справедливой стоимости, определяемой по результатам осуществления оценки (переоценки), поправки на величину рассчитанного резерва по сомнительным долгам активов (обязательств), принимаемых в расчет.</w:t>
      </w:r>
      <w:r>
        <w:rPr>
          <w:rFonts w:ascii="Times New Roman" w:hAnsi="Times New Roman"/>
          <w:sz w:val="24"/>
          <w:szCs w:val="24"/>
        </w:rPr>
        <w:t xml:space="preserve"> </w:t>
      </w:r>
      <w:r>
        <w:rPr>
          <w:rFonts w:ascii="Times New Roman" w:hAnsi="Times New Roman" w:cs="Times New Roman"/>
          <w:sz w:val="24"/>
          <w:szCs w:val="24"/>
        </w:rPr>
        <w:t xml:space="preserve">(Изменён Указанием от 22.08.2019 </w:t>
      </w:r>
      <w:r>
        <w:rPr>
          <w:rFonts w:ascii="Times New Roman" w:hAnsi="Times New Roman" w:cs="Times New Roman"/>
          <w:sz w:val="24"/>
          <w:szCs w:val="24"/>
          <w:lang w:val="en-US"/>
        </w:rPr>
        <w:t>N</w:t>
      </w:r>
      <w:r w:rsidRPr="002E63A6">
        <w:rPr>
          <w:rFonts w:ascii="Times New Roman" w:hAnsi="Times New Roman" w:cs="Times New Roman"/>
          <w:sz w:val="24"/>
          <w:szCs w:val="24"/>
        </w:rPr>
        <w:t xml:space="preserve"> 1179-</w:t>
      </w:r>
      <w:r>
        <w:rPr>
          <w:rFonts w:ascii="Times New Roman" w:hAnsi="Times New Roman" w:cs="Times New Roman"/>
          <w:sz w:val="24"/>
          <w:szCs w:val="24"/>
        </w:rPr>
        <w:t>У).</w:t>
      </w:r>
    </w:p>
    <w:p w:rsidR="00173E56" w:rsidRPr="004D2D18" w:rsidRDefault="002E63A6" w:rsidP="002E63A6">
      <w:pPr>
        <w:tabs>
          <w:tab w:val="left" w:pos="1134"/>
        </w:tabs>
        <w:spacing w:after="0" w:line="240" w:lineRule="auto"/>
        <w:ind w:firstLine="709"/>
        <w:jc w:val="both"/>
        <w:outlineLvl w:val="0"/>
        <w:rPr>
          <w:rFonts w:ascii="Times New Roman CE" w:eastAsia="Times New Roman" w:hAnsi="Times New Roman CE" w:cs="Times New Roman"/>
          <w:color w:val="000000"/>
          <w:sz w:val="24"/>
          <w:szCs w:val="24"/>
        </w:rPr>
      </w:pPr>
      <w:r>
        <w:rPr>
          <w:rFonts w:ascii="Times New Roman CE" w:eastAsia="Times New Roman" w:hAnsi="Times New Roman CE" w:cs="Times New Roman"/>
          <w:color w:val="000000"/>
          <w:sz w:val="24"/>
          <w:szCs w:val="24"/>
        </w:rPr>
        <w:t xml:space="preserve">10. </w:t>
      </w:r>
      <w:r w:rsidR="008534AB" w:rsidRPr="004D2D18">
        <w:rPr>
          <w:rFonts w:ascii="Times New Roman CE" w:eastAsia="Times New Roman" w:hAnsi="Times New Roman CE" w:cs="Times New Roman"/>
          <w:color w:val="000000"/>
          <w:sz w:val="24"/>
          <w:szCs w:val="24"/>
        </w:rPr>
        <w:t>Ч</w:t>
      </w:r>
      <w:r w:rsidR="00173E56" w:rsidRPr="004D2D18">
        <w:rPr>
          <w:rFonts w:ascii="Times New Roman CE" w:eastAsia="Times New Roman" w:hAnsi="Times New Roman CE" w:cs="Times New Roman"/>
          <w:color w:val="000000"/>
          <w:sz w:val="24"/>
          <w:szCs w:val="24"/>
        </w:rPr>
        <w:t>истые активы страхов</w:t>
      </w:r>
      <w:r w:rsidR="008534AB" w:rsidRPr="004D2D18">
        <w:rPr>
          <w:rFonts w:ascii="Times New Roman CE" w:eastAsia="Times New Roman" w:hAnsi="Times New Roman CE" w:cs="Times New Roman"/>
          <w:color w:val="000000"/>
          <w:sz w:val="24"/>
          <w:szCs w:val="24"/>
        </w:rPr>
        <w:t>ой</w:t>
      </w:r>
      <w:r w:rsidR="00173E56" w:rsidRPr="004D2D18">
        <w:rPr>
          <w:rFonts w:ascii="Times New Roman CE" w:eastAsia="Times New Roman" w:hAnsi="Times New Roman CE" w:cs="Times New Roman"/>
          <w:color w:val="000000"/>
          <w:sz w:val="24"/>
          <w:szCs w:val="24"/>
        </w:rPr>
        <w:t xml:space="preserve"> организаци</w:t>
      </w:r>
      <w:r w:rsidR="008534AB" w:rsidRPr="004D2D18">
        <w:rPr>
          <w:rFonts w:ascii="Times New Roman CE" w:eastAsia="Times New Roman" w:hAnsi="Times New Roman CE" w:cs="Times New Roman"/>
          <w:color w:val="000000"/>
          <w:sz w:val="24"/>
          <w:szCs w:val="24"/>
        </w:rPr>
        <w:t>и</w:t>
      </w:r>
      <w:r w:rsidR="00173E56" w:rsidRPr="004D2D18">
        <w:rPr>
          <w:rFonts w:ascii="Times New Roman CE" w:eastAsia="Times New Roman" w:hAnsi="Times New Roman CE" w:cs="Times New Roman"/>
          <w:color w:val="000000"/>
          <w:sz w:val="24"/>
          <w:szCs w:val="24"/>
        </w:rPr>
        <w:t xml:space="preserve"> определяются по формуле:</w:t>
      </w:r>
    </w:p>
    <w:p w:rsidR="008534AB" w:rsidRDefault="00173E56" w:rsidP="00F301E3">
      <w:pPr>
        <w:pStyle w:val="ad"/>
        <w:tabs>
          <w:tab w:val="left" w:pos="993"/>
        </w:tabs>
        <w:spacing w:after="0" w:line="240" w:lineRule="auto"/>
        <w:ind w:left="0"/>
        <w:jc w:val="both"/>
        <w:outlineLvl w:val="0"/>
        <w:rPr>
          <w:rFonts w:ascii="Times New Roman CE" w:eastAsia="Times New Roman" w:hAnsi="Times New Roman CE" w:cs="Times New Roman"/>
          <w:color w:val="000000"/>
          <w:sz w:val="24"/>
          <w:szCs w:val="24"/>
          <w:highlight w:val="yellow"/>
        </w:rPr>
      </w:pPr>
      <w:r w:rsidRPr="004D2D18">
        <w:rPr>
          <w:rFonts w:ascii="Times New Roman CE" w:eastAsia="Times New Roman" w:hAnsi="Times New Roman CE" w:cs="Times New Roman"/>
          <w:color w:val="000000"/>
          <w:sz w:val="24"/>
          <w:szCs w:val="24"/>
        </w:rPr>
        <w:t xml:space="preserve">Чистые активы = (Активы, принимаемые в расчет – </w:t>
      </w:r>
      <w:r w:rsidR="008534AB" w:rsidRPr="004D2D18">
        <w:rPr>
          <w:rFonts w:ascii="Times New Roman CE" w:eastAsia="Times New Roman" w:hAnsi="Times New Roman CE" w:cs="Times New Roman"/>
          <w:color w:val="000000"/>
          <w:sz w:val="24"/>
          <w:szCs w:val="24"/>
        </w:rPr>
        <w:t>Рассчитанный</w:t>
      </w:r>
      <w:r w:rsidRPr="004D2D18">
        <w:rPr>
          <w:rFonts w:ascii="Times New Roman CE" w:eastAsia="Times New Roman" w:hAnsi="Times New Roman CE" w:cs="Times New Roman"/>
          <w:color w:val="000000"/>
          <w:sz w:val="24"/>
          <w:szCs w:val="24"/>
        </w:rPr>
        <w:t xml:space="preserve"> резерв по сомнительным долгам </w:t>
      </w:r>
      <w:r w:rsidR="008534AB" w:rsidRPr="004D2D18">
        <w:rPr>
          <w:rFonts w:ascii="Times New Roman CE" w:eastAsia="Times New Roman" w:hAnsi="Times New Roman CE" w:cs="Times New Roman"/>
          <w:color w:val="000000"/>
          <w:sz w:val="24"/>
          <w:szCs w:val="24"/>
        </w:rPr>
        <w:t xml:space="preserve">+ </w:t>
      </w:r>
      <w:r w:rsidRPr="004D2D18">
        <w:rPr>
          <w:rFonts w:ascii="Times New Roman CE" w:eastAsia="Times New Roman" w:hAnsi="Times New Roman CE" w:cs="Times New Roman"/>
          <w:color w:val="000000"/>
          <w:sz w:val="24"/>
          <w:szCs w:val="24"/>
        </w:rPr>
        <w:t>положительн</w:t>
      </w:r>
      <w:r w:rsidR="008534AB" w:rsidRPr="004D2D18">
        <w:rPr>
          <w:rFonts w:ascii="Times New Roman CE" w:eastAsia="Times New Roman" w:hAnsi="Times New Roman CE" w:cs="Times New Roman"/>
          <w:color w:val="000000"/>
          <w:sz w:val="24"/>
          <w:szCs w:val="24"/>
        </w:rPr>
        <w:t>ая переоценка актив</w:t>
      </w:r>
      <w:r w:rsidR="00607310" w:rsidRPr="004D2D18">
        <w:rPr>
          <w:rFonts w:ascii="Times New Roman CE" w:eastAsia="Times New Roman" w:hAnsi="Times New Roman CE" w:cs="Times New Roman"/>
          <w:color w:val="000000"/>
          <w:sz w:val="24"/>
          <w:szCs w:val="24"/>
        </w:rPr>
        <w:t>ов</w:t>
      </w:r>
      <w:r w:rsidR="008534AB" w:rsidRPr="004D2D18">
        <w:rPr>
          <w:rFonts w:ascii="Times New Roman CE" w:eastAsia="Times New Roman" w:hAnsi="Times New Roman CE" w:cs="Times New Roman"/>
          <w:color w:val="000000"/>
          <w:sz w:val="24"/>
          <w:szCs w:val="24"/>
        </w:rPr>
        <w:t xml:space="preserve"> – </w:t>
      </w:r>
      <w:r w:rsidRPr="004D2D18">
        <w:rPr>
          <w:rFonts w:ascii="Times New Roman CE" w:eastAsia="Times New Roman" w:hAnsi="Times New Roman CE" w:cs="Times New Roman"/>
          <w:color w:val="000000"/>
          <w:sz w:val="24"/>
          <w:szCs w:val="24"/>
        </w:rPr>
        <w:t>отрицательн</w:t>
      </w:r>
      <w:r w:rsidR="008534AB" w:rsidRPr="004D2D18">
        <w:rPr>
          <w:rFonts w:ascii="Times New Roman CE" w:eastAsia="Times New Roman" w:hAnsi="Times New Roman CE" w:cs="Times New Roman"/>
          <w:color w:val="000000"/>
          <w:sz w:val="24"/>
          <w:szCs w:val="24"/>
        </w:rPr>
        <w:t>ая</w:t>
      </w:r>
      <w:r w:rsidRPr="004D2D18">
        <w:rPr>
          <w:rFonts w:ascii="Times New Roman CE" w:eastAsia="Times New Roman" w:hAnsi="Times New Roman CE" w:cs="Times New Roman"/>
          <w:color w:val="000000"/>
          <w:sz w:val="24"/>
          <w:szCs w:val="24"/>
        </w:rPr>
        <w:t xml:space="preserve"> переоценк</w:t>
      </w:r>
      <w:r w:rsidR="008534AB" w:rsidRPr="004D2D18">
        <w:rPr>
          <w:rFonts w:ascii="Times New Roman CE" w:eastAsia="Times New Roman" w:hAnsi="Times New Roman CE" w:cs="Times New Roman"/>
          <w:color w:val="000000"/>
          <w:sz w:val="24"/>
          <w:szCs w:val="24"/>
        </w:rPr>
        <w:t>а</w:t>
      </w:r>
      <w:r w:rsidRPr="004D2D18">
        <w:rPr>
          <w:rFonts w:ascii="Times New Roman CE" w:eastAsia="Times New Roman" w:hAnsi="Times New Roman CE" w:cs="Times New Roman"/>
          <w:color w:val="000000"/>
          <w:sz w:val="24"/>
          <w:szCs w:val="24"/>
        </w:rPr>
        <w:t xml:space="preserve"> актив</w:t>
      </w:r>
      <w:r w:rsidR="00607310" w:rsidRPr="004D2D18">
        <w:rPr>
          <w:rFonts w:ascii="Times New Roman CE" w:eastAsia="Times New Roman" w:hAnsi="Times New Roman CE" w:cs="Times New Roman"/>
          <w:color w:val="000000"/>
          <w:sz w:val="24"/>
          <w:szCs w:val="24"/>
        </w:rPr>
        <w:t>ов</w:t>
      </w:r>
      <w:r w:rsidRPr="004D2D18">
        <w:rPr>
          <w:rFonts w:ascii="Times New Roman CE" w:eastAsia="Times New Roman" w:hAnsi="Times New Roman CE" w:cs="Times New Roman"/>
          <w:color w:val="000000"/>
          <w:sz w:val="24"/>
          <w:szCs w:val="24"/>
        </w:rPr>
        <w:t xml:space="preserve">) – </w:t>
      </w:r>
      <w:r w:rsidR="008534AB" w:rsidRPr="004D2D18">
        <w:rPr>
          <w:rFonts w:ascii="Times New Roman CE" w:eastAsia="Times New Roman" w:hAnsi="Times New Roman CE" w:cs="Times New Roman"/>
          <w:color w:val="000000"/>
          <w:sz w:val="24"/>
          <w:szCs w:val="24"/>
        </w:rPr>
        <w:t>(</w:t>
      </w:r>
      <w:r w:rsidRPr="004D2D18">
        <w:rPr>
          <w:rFonts w:ascii="Times New Roman CE" w:eastAsia="Times New Roman" w:hAnsi="Times New Roman CE" w:cs="Times New Roman"/>
          <w:color w:val="000000"/>
          <w:sz w:val="24"/>
          <w:szCs w:val="24"/>
        </w:rPr>
        <w:t>Обязательства, принимаемые в расчет</w:t>
      </w:r>
      <w:r w:rsidR="008534AB" w:rsidRPr="004D2D18">
        <w:rPr>
          <w:rFonts w:ascii="Times New Roman CE" w:eastAsia="Times New Roman" w:hAnsi="Times New Roman CE" w:cs="Times New Roman"/>
          <w:color w:val="000000"/>
          <w:sz w:val="24"/>
          <w:szCs w:val="24"/>
        </w:rPr>
        <w:t xml:space="preserve"> + положительная переоценка обязательств – отрицательная переоценка обязательств)</w:t>
      </w:r>
    </w:p>
    <w:p w:rsidR="00E03063" w:rsidRPr="00F301E3" w:rsidRDefault="00F301E3" w:rsidP="00F301E3">
      <w:pPr>
        <w:tabs>
          <w:tab w:val="left" w:pos="993"/>
        </w:tabs>
        <w:spacing w:after="0" w:line="240" w:lineRule="auto"/>
        <w:ind w:firstLine="709"/>
        <w:jc w:val="both"/>
        <w:outlineLvl w:val="0"/>
        <w:rPr>
          <w:rFonts w:ascii="Times New Roman CE" w:eastAsia="Times New Roman" w:hAnsi="Times New Roman CE" w:cs="Times New Roman"/>
          <w:color w:val="000000"/>
          <w:sz w:val="24"/>
          <w:szCs w:val="24"/>
        </w:rPr>
      </w:pPr>
      <w:r>
        <w:rPr>
          <w:rFonts w:ascii="Times New Roman CE" w:eastAsia="Times New Roman" w:hAnsi="Times New Roman CE" w:cs="Times New Roman"/>
          <w:color w:val="000000"/>
          <w:sz w:val="24"/>
          <w:szCs w:val="24"/>
        </w:rPr>
        <w:t xml:space="preserve">11. </w:t>
      </w:r>
      <w:r w:rsidR="00E03063" w:rsidRPr="00F301E3">
        <w:rPr>
          <w:rFonts w:ascii="Times New Roman CE" w:eastAsia="Times New Roman" w:hAnsi="Times New Roman CE" w:cs="Times New Roman"/>
          <w:color w:val="000000"/>
          <w:sz w:val="24"/>
          <w:szCs w:val="24"/>
        </w:rPr>
        <w:t>Актив не подлежит включению в расчет стоимости чистых активов в случае, если он обременен обязательствами по договорам залога при условии наличия фактов ненадлежащего исполнения обязательств, в обеспечение которых предоставлен данный актив.</w:t>
      </w:r>
    </w:p>
    <w:p w:rsidR="00E03063" w:rsidRPr="00F301E3" w:rsidRDefault="00F301E3" w:rsidP="00F301E3">
      <w:pPr>
        <w:tabs>
          <w:tab w:val="left" w:pos="993"/>
        </w:tabs>
        <w:spacing w:after="0" w:line="240" w:lineRule="auto"/>
        <w:ind w:firstLine="709"/>
        <w:jc w:val="both"/>
        <w:outlineLvl w:val="0"/>
        <w:rPr>
          <w:rFonts w:ascii="Times New Roman CE" w:eastAsia="Times New Roman" w:hAnsi="Times New Roman CE" w:cs="Times New Roman"/>
          <w:sz w:val="24"/>
          <w:szCs w:val="24"/>
        </w:rPr>
      </w:pPr>
      <w:r>
        <w:rPr>
          <w:rFonts w:ascii="Times New Roman CE" w:eastAsia="Times New Roman" w:hAnsi="Times New Roman CE" w:cs="Times New Roman"/>
          <w:color w:val="000000"/>
          <w:sz w:val="24"/>
          <w:szCs w:val="24"/>
        </w:rPr>
        <w:t xml:space="preserve">12. </w:t>
      </w:r>
      <w:r w:rsidR="008534AB" w:rsidRPr="00F301E3">
        <w:rPr>
          <w:rFonts w:ascii="Times New Roman CE" w:eastAsia="Times New Roman" w:hAnsi="Times New Roman CE" w:cs="Times New Roman"/>
          <w:color w:val="000000"/>
          <w:sz w:val="24"/>
          <w:szCs w:val="24"/>
        </w:rPr>
        <w:t>Сомнительные долги</w:t>
      </w:r>
      <w:r w:rsidR="00A308A3" w:rsidRPr="00F301E3">
        <w:rPr>
          <w:rFonts w:ascii="Times New Roman CE" w:eastAsia="Times New Roman" w:hAnsi="Times New Roman CE" w:cs="Times New Roman"/>
          <w:color w:val="000000"/>
          <w:sz w:val="24"/>
          <w:szCs w:val="24"/>
        </w:rPr>
        <w:t xml:space="preserve"> подлеж</w:t>
      </w:r>
      <w:r w:rsidR="008534AB" w:rsidRPr="00F301E3">
        <w:rPr>
          <w:rFonts w:ascii="Times New Roman CE" w:eastAsia="Times New Roman" w:hAnsi="Times New Roman CE" w:cs="Times New Roman"/>
          <w:color w:val="000000"/>
          <w:sz w:val="24"/>
          <w:szCs w:val="24"/>
        </w:rPr>
        <w:t>а</w:t>
      </w:r>
      <w:r w:rsidR="00A308A3" w:rsidRPr="00F301E3">
        <w:rPr>
          <w:rFonts w:ascii="Times New Roman CE" w:eastAsia="Times New Roman" w:hAnsi="Times New Roman CE" w:cs="Times New Roman"/>
          <w:color w:val="000000"/>
          <w:sz w:val="24"/>
          <w:szCs w:val="24"/>
        </w:rPr>
        <w:t xml:space="preserve">т включению в расчет чистых активов </w:t>
      </w:r>
      <w:r w:rsidR="00223FA3" w:rsidRPr="00F301E3">
        <w:rPr>
          <w:rFonts w:ascii="Times New Roman CE" w:eastAsia="Times New Roman" w:hAnsi="Times New Roman CE" w:cs="Times New Roman"/>
          <w:color w:val="000000"/>
          <w:sz w:val="24"/>
          <w:szCs w:val="24"/>
        </w:rPr>
        <w:t>только</w:t>
      </w:r>
      <w:r w:rsidR="00A308A3" w:rsidRPr="00F301E3">
        <w:rPr>
          <w:rFonts w:ascii="Times New Roman CE" w:eastAsia="Times New Roman" w:hAnsi="Times New Roman CE" w:cs="Times New Roman"/>
          <w:color w:val="000000"/>
          <w:sz w:val="24"/>
          <w:szCs w:val="24"/>
        </w:rPr>
        <w:t xml:space="preserve"> в случае </w:t>
      </w:r>
      <w:r w:rsidR="008534AB" w:rsidRPr="00F301E3">
        <w:rPr>
          <w:rFonts w:ascii="Times New Roman CE" w:eastAsia="Times New Roman" w:hAnsi="Times New Roman CE" w:cs="Times New Roman"/>
          <w:color w:val="000000"/>
          <w:sz w:val="24"/>
          <w:szCs w:val="24"/>
        </w:rPr>
        <w:t>расчета</w:t>
      </w:r>
      <w:r w:rsidR="00A308A3" w:rsidRPr="00F301E3">
        <w:rPr>
          <w:rFonts w:ascii="Times New Roman CE" w:eastAsia="Times New Roman" w:hAnsi="Times New Roman CE" w:cs="Times New Roman"/>
          <w:color w:val="000000"/>
          <w:sz w:val="24"/>
          <w:szCs w:val="24"/>
        </w:rPr>
        <w:t xml:space="preserve"> резерв</w:t>
      </w:r>
      <w:r w:rsidR="00104F07" w:rsidRPr="00F301E3">
        <w:rPr>
          <w:rFonts w:ascii="Times New Roman CE" w:eastAsia="Times New Roman" w:hAnsi="Times New Roman CE" w:cs="Times New Roman"/>
          <w:color w:val="000000"/>
          <w:sz w:val="24"/>
          <w:szCs w:val="24"/>
        </w:rPr>
        <w:t>а</w:t>
      </w:r>
      <w:r w:rsidR="00A308A3" w:rsidRPr="00F301E3">
        <w:rPr>
          <w:rFonts w:ascii="Times New Roman CE" w:eastAsia="Times New Roman" w:hAnsi="Times New Roman CE" w:cs="Times New Roman"/>
          <w:color w:val="000000"/>
          <w:sz w:val="24"/>
          <w:szCs w:val="24"/>
        </w:rPr>
        <w:t xml:space="preserve"> по сомнительным долгам </w:t>
      </w:r>
      <w:r w:rsidR="008534AB" w:rsidRPr="00F301E3">
        <w:rPr>
          <w:rFonts w:ascii="Times New Roman CE" w:eastAsia="Times New Roman" w:hAnsi="Times New Roman CE" w:cs="Times New Roman"/>
          <w:color w:val="000000"/>
          <w:sz w:val="24"/>
          <w:szCs w:val="24"/>
        </w:rPr>
        <w:t>по ним</w:t>
      </w:r>
      <w:r w:rsidR="00A308A3" w:rsidRPr="00F301E3">
        <w:rPr>
          <w:rFonts w:ascii="Times New Roman CE" w:eastAsia="Times New Roman" w:hAnsi="Times New Roman CE" w:cs="Times New Roman"/>
          <w:sz w:val="24"/>
          <w:szCs w:val="24"/>
        </w:rPr>
        <w:t>.</w:t>
      </w:r>
    </w:p>
    <w:p w:rsidR="007D2402" w:rsidRPr="00F301E3" w:rsidRDefault="00F301E3" w:rsidP="00F301E3">
      <w:pPr>
        <w:tabs>
          <w:tab w:val="left" w:pos="993"/>
        </w:tabs>
        <w:spacing w:after="0" w:line="240" w:lineRule="auto"/>
        <w:ind w:firstLine="709"/>
        <w:jc w:val="both"/>
        <w:outlineLvl w:val="0"/>
        <w:rPr>
          <w:rFonts w:ascii="Times New Roman" w:eastAsia="Times New Roman" w:hAnsi="Times New Roman" w:cs="Times New Roman"/>
          <w:strike/>
          <w:sz w:val="24"/>
          <w:szCs w:val="24"/>
        </w:rPr>
      </w:pPr>
      <w:r>
        <w:rPr>
          <w:rFonts w:ascii="Times New Roman CE" w:eastAsia="Times New Roman" w:hAnsi="Times New Roman CE" w:cs="Times New Roman CE"/>
          <w:color w:val="000000"/>
          <w:sz w:val="24"/>
          <w:szCs w:val="24"/>
        </w:rPr>
        <w:t xml:space="preserve">13. </w:t>
      </w:r>
      <w:r w:rsidR="00DA5E1D" w:rsidRPr="00F301E3">
        <w:rPr>
          <w:rFonts w:ascii="Times New Roman CE" w:eastAsia="Times New Roman" w:hAnsi="Times New Roman CE" w:cs="Times New Roman CE"/>
          <w:color w:val="000000"/>
          <w:sz w:val="24"/>
          <w:szCs w:val="24"/>
        </w:rPr>
        <w:t>Стоимость чистых активов страховой организации должна быть не ниже размера ее уставного капитала</w:t>
      </w:r>
      <w:r w:rsidR="00EB79B8" w:rsidRPr="00F301E3">
        <w:rPr>
          <w:rFonts w:ascii="Times New Roman CE" w:eastAsia="Times New Roman" w:hAnsi="Times New Roman CE" w:cs="Times New Roman CE"/>
          <w:color w:val="000000"/>
          <w:sz w:val="24"/>
          <w:szCs w:val="24"/>
        </w:rPr>
        <w:t xml:space="preserve"> </w:t>
      </w:r>
      <w:r w:rsidR="0072572D" w:rsidRPr="00F301E3">
        <w:rPr>
          <w:rFonts w:ascii="Times New Roman CE" w:eastAsia="Times New Roman" w:hAnsi="Times New Roman CE" w:cs="Times New Roman CE"/>
          <w:sz w:val="24"/>
          <w:szCs w:val="24"/>
        </w:rPr>
        <w:t xml:space="preserve">и соответствующего требованиям </w:t>
      </w:r>
      <w:r w:rsidR="003D10BD" w:rsidRPr="00F301E3">
        <w:rPr>
          <w:rFonts w:ascii="Times New Roman CE" w:eastAsia="Times New Roman" w:hAnsi="Times New Roman CE" w:cs="Times New Roman CE"/>
          <w:sz w:val="24"/>
          <w:szCs w:val="24"/>
        </w:rPr>
        <w:t>минимального размера уставного капитала страховой организации, установленного пунктом 3 статьи 19 Закона Приднестровской Молдавской Республики «Об организации страхового дела»</w:t>
      </w:r>
      <w:r w:rsidR="00DA5E1D" w:rsidRPr="00F301E3">
        <w:rPr>
          <w:rFonts w:ascii="Times New Roman CE" w:eastAsia="Times New Roman" w:hAnsi="Times New Roman CE" w:cs="Times New Roman CE"/>
          <w:sz w:val="24"/>
          <w:szCs w:val="24"/>
        </w:rPr>
        <w:t xml:space="preserve">. </w:t>
      </w:r>
    </w:p>
    <w:p w:rsidR="00DA5E1D" w:rsidRDefault="00DA5E1D" w:rsidP="006302F2">
      <w:pPr>
        <w:tabs>
          <w:tab w:val="left" w:pos="993"/>
        </w:tabs>
        <w:spacing w:after="0" w:line="240" w:lineRule="auto"/>
        <w:ind w:firstLine="709"/>
        <w:jc w:val="both"/>
        <w:outlineLvl w:val="0"/>
        <w:rPr>
          <w:rFonts w:ascii="Times New Roman CE" w:eastAsia="Times New Roman" w:hAnsi="Times New Roman CE" w:cs="Times New Roman CE"/>
          <w:sz w:val="24"/>
          <w:szCs w:val="24"/>
        </w:rPr>
      </w:pPr>
      <w:r w:rsidRPr="007D2402">
        <w:rPr>
          <w:rFonts w:ascii="Times New Roman CE" w:eastAsia="Times New Roman" w:hAnsi="Times New Roman CE" w:cs="Times New Roman CE"/>
          <w:color w:val="000000"/>
          <w:sz w:val="24"/>
          <w:szCs w:val="24"/>
        </w:rPr>
        <w:t xml:space="preserve">Если по окончании второго года </w:t>
      </w:r>
      <w:r w:rsidR="0072572D" w:rsidRPr="007D2402">
        <w:rPr>
          <w:rFonts w:ascii="Times New Roman CE" w:eastAsia="Times New Roman" w:hAnsi="Times New Roman CE" w:cs="Times New Roman CE"/>
          <w:color w:val="000000"/>
          <w:sz w:val="24"/>
          <w:szCs w:val="24"/>
        </w:rPr>
        <w:t xml:space="preserve">и каждого </w:t>
      </w:r>
      <w:r w:rsidRPr="007D2402">
        <w:rPr>
          <w:rFonts w:ascii="Times New Roman CE" w:eastAsia="Times New Roman" w:hAnsi="Times New Roman CE" w:cs="Times New Roman CE"/>
          <w:color w:val="000000"/>
          <w:sz w:val="24"/>
          <w:szCs w:val="24"/>
        </w:rPr>
        <w:t xml:space="preserve">последующего финансового года стоимость чистых активов страховой организации </w:t>
      </w:r>
      <w:r w:rsidR="006302F2" w:rsidRPr="006302F2">
        <w:rPr>
          <w:rFonts w:ascii="Times New Roman CE" w:eastAsia="Times New Roman" w:hAnsi="Times New Roman CE" w:cs="Times New Roman CE"/>
          <w:sz w:val="24"/>
          <w:szCs w:val="24"/>
        </w:rPr>
        <w:t>по результатам расчетов и отражения в годовом бухгалтерском балансе</w:t>
      </w:r>
      <w:r w:rsidR="006302F2" w:rsidRPr="007D2402">
        <w:rPr>
          <w:rFonts w:ascii="Times New Roman CE" w:eastAsia="Times New Roman" w:hAnsi="Times New Roman CE" w:cs="Times New Roman CE"/>
          <w:color w:val="000000"/>
          <w:sz w:val="24"/>
          <w:szCs w:val="24"/>
        </w:rPr>
        <w:t xml:space="preserve"> </w:t>
      </w:r>
      <w:r w:rsidRPr="007D2402">
        <w:rPr>
          <w:rFonts w:ascii="Times New Roman CE" w:eastAsia="Times New Roman" w:hAnsi="Times New Roman CE" w:cs="Times New Roman CE"/>
          <w:color w:val="000000"/>
          <w:sz w:val="24"/>
          <w:szCs w:val="24"/>
        </w:rPr>
        <w:t xml:space="preserve">оказывается ниже размера уставного капитала, </w:t>
      </w:r>
      <w:r w:rsidR="003D10BD" w:rsidRPr="006302F2">
        <w:rPr>
          <w:rFonts w:ascii="Times New Roman CE" w:eastAsia="Times New Roman" w:hAnsi="Times New Roman CE" w:cs="Times New Roman CE"/>
          <w:sz w:val="24"/>
          <w:szCs w:val="24"/>
        </w:rPr>
        <w:t>страховая организация обязана</w:t>
      </w:r>
      <w:r w:rsidR="006302F2">
        <w:rPr>
          <w:rFonts w:ascii="Times New Roman CE" w:eastAsia="Times New Roman" w:hAnsi="Times New Roman CE" w:cs="Times New Roman CE"/>
          <w:sz w:val="24"/>
          <w:szCs w:val="24"/>
        </w:rPr>
        <w:t xml:space="preserve"> </w:t>
      </w:r>
      <w:r w:rsidR="007D2402" w:rsidRPr="006302F2">
        <w:rPr>
          <w:rFonts w:ascii="Times New Roman CE" w:eastAsia="Times New Roman" w:hAnsi="Times New Roman CE" w:cs="Times New Roman CE"/>
          <w:sz w:val="24"/>
          <w:szCs w:val="24"/>
        </w:rPr>
        <w:t>объявить и зарегистрировать в установленном порядке уменьшение своего уставного капитала до величины, не превышающей стоимости его чистых активов.</w:t>
      </w:r>
    </w:p>
    <w:p w:rsidR="00BD312D" w:rsidRDefault="00BD312D" w:rsidP="00BD312D">
      <w:pPr>
        <w:pStyle w:val="ad"/>
        <w:tabs>
          <w:tab w:val="left" w:pos="993"/>
          <w:tab w:val="left" w:pos="1276"/>
        </w:tabs>
        <w:spacing w:after="0" w:line="240" w:lineRule="auto"/>
        <w:ind w:left="0" w:firstLine="709"/>
        <w:jc w:val="both"/>
        <w:outlineLvl w:val="0"/>
        <w:rPr>
          <w:rFonts w:ascii="Times New Roman" w:hAnsi="Times New Roman" w:cs="Times New Roman"/>
          <w:sz w:val="24"/>
          <w:szCs w:val="24"/>
        </w:rPr>
      </w:pPr>
      <w:r w:rsidRPr="00B03A58">
        <w:rPr>
          <w:rFonts w:ascii="Times New Roman" w:hAnsi="Times New Roman"/>
          <w:sz w:val="24"/>
          <w:szCs w:val="24"/>
        </w:rPr>
        <w:t>13-1. В целях определения размера чистых активов страховой организации страховая организация проводит оценку ее активов и пассивов. В случае несогласия с оценкой страховой организации, Приднестровский республиканский банк предъявляет страховой организации требование об уточнении величины чистых активов (в том числе резерва по сомнительным долгам), которое оформляется предписанием. Обжалование страховой организацией указанного предписания в судебном порядке не приостанавливает его исполнения. При проведении оценки активов и пассивов страховой организации орган страхового надзора вправе привлекать актуария и (или) независимого оценщика.</w:t>
      </w:r>
      <w:r>
        <w:rPr>
          <w:rFonts w:ascii="Times New Roman" w:hAnsi="Times New Roman"/>
          <w:sz w:val="24"/>
          <w:szCs w:val="24"/>
        </w:rPr>
        <w:t xml:space="preserve"> </w:t>
      </w:r>
      <w:r>
        <w:rPr>
          <w:rFonts w:ascii="Times New Roman" w:hAnsi="Times New Roman" w:cs="Times New Roman"/>
          <w:sz w:val="24"/>
          <w:szCs w:val="24"/>
        </w:rPr>
        <w:t xml:space="preserve">(Дополнен Указанием от 22.08.2019 </w:t>
      </w:r>
      <w:r>
        <w:rPr>
          <w:rFonts w:ascii="Times New Roman" w:hAnsi="Times New Roman" w:cs="Times New Roman"/>
          <w:sz w:val="24"/>
          <w:szCs w:val="24"/>
          <w:lang w:val="en-US"/>
        </w:rPr>
        <w:t>N</w:t>
      </w:r>
      <w:r w:rsidRPr="002E63A6">
        <w:rPr>
          <w:rFonts w:ascii="Times New Roman" w:hAnsi="Times New Roman" w:cs="Times New Roman"/>
          <w:sz w:val="24"/>
          <w:szCs w:val="24"/>
        </w:rPr>
        <w:t xml:space="preserve"> 1179-</w:t>
      </w:r>
      <w:r>
        <w:rPr>
          <w:rFonts w:ascii="Times New Roman" w:hAnsi="Times New Roman" w:cs="Times New Roman"/>
          <w:sz w:val="24"/>
          <w:szCs w:val="24"/>
        </w:rPr>
        <w:t>У).</w:t>
      </w:r>
    </w:p>
    <w:p w:rsidR="00BD312D" w:rsidRDefault="00BD312D" w:rsidP="00BD312D">
      <w:pPr>
        <w:pStyle w:val="ad"/>
        <w:tabs>
          <w:tab w:val="left" w:pos="993"/>
          <w:tab w:val="left" w:pos="1276"/>
        </w:tabs>
        <w:spacing w:after="0" w:line="240" w:lineRule="auto"/>
        <w:ind w:left="0" w:firstLine="709"/>
        <w:jc w:val="both"/>
        <w:outlineLvl w:val="0"/>
        <w:rPr>
          <w:rFonts w:ascii="Times New Roman" w:hAnsi="Times New Roman" w:cs="Times New Roman"/>
          <w:sz w:val="24"/>
          <w:szCs w:val="24"/>
        </w:rPr>
      </w:pPr>
      <w:r w:rsidRPr="00B03A58">
        <w:rPr>
          <w:rFonts w:ascii="Times New Roman" w:hAnsi="Times New Roman"/>
          <w:sz w:val="24"/>
          <w:szCs w:val="24"/>
        </w:rPr>
        <w:t xml:space="preserve">13-2. Если размер чистых активов страховой организации окажется меньше установленных минимальных требований, орган страхового надзора обязан направить в </w:t>
      </w:r>
      <w:r w:rsidRPr="00B03A58">
        <w:rPr>
          <w:rFonts w:ascii="Times New Roman" w:hAnsi="Times New Roman"/>
          <w:sz w:val="24"/>
          <w:szCs w:val="24"/>
        </w:rPr>
        <w:lastRenderedPageBreak/>
        <w:t>страховую организацию требование о приведении в соответствие величины чистых активов. Страховая организация обязана исполнить требование Приднестровского республиканского банка в порядке, в сроки и на условиях, которые установлены органом страхового надзора.</w:t>
      </w:r>
      <w:r>
        <w:rPr>
          <w:rFonts w:ascii="Times New Roman" w:hAnsi="Times New Roman"/>
          <w:sz w:val="24"/>
          <w:szCs w:val="24"/>
        </w:rPr>
        <w:t xml:space="preserve"> </w:t>
      </w:r>
      <w:r>
        <w:rPr>
          <w:rFonts w:ascii="Times New Roman" w:hAnsi="Times New Roman" w:cs="Times New Roman"/>
          <w:sz w:val="24"/>
          <w:szCs w:val="24"/>
        </w:rPr>
        <w:t xml:space="preserve">(Дополнен Указанием от 22.08.2019 </w:t>
      </w:r>
      <w:r>
        <w:rPr>
          <w:rFonts w:ascii="Times New Roman" w:hAnsi="Times New Roman" w:cs="Times New Roman"/>
          <w:sz w:val="24"/>
          <w:szCs w:val="24"/>
          <w:lang w:val="en-US"/>
        </w:rPr>
        <w:t>N</w:t>
      </w:r>
      <w:r w:rsidRPr="002E63A6">
        <w:rPr>
          <w:rFonts w:ascii="Times New Roman" w:hAnsi="Times New Roman" w:cs="Times New Roman"/>
          <w:sz w:val="24"/>
          <w:szCs w:val="24"/>
        </w:rPr>
        <w:t xml:space="preserve"> 1179-</w:t>
      </w:r>
      <w:r>
        <w:rPr>
          <w:rFonts w:ascii="Times New Roman" w:hAnsi="Times New Roman" w:cs="Times New Roman"/>
          <w:sz w:val="24"/>
          <w:szCs w:val="24"/>
        </w:rPr>
        <w:t>У).</w:t>
      </w:r>
    </w:p>
    <w:p w:rsidR="0072572D" w:rsidRPr="000B2FA8" w:rsidRDefault="0072572D" w:rsidP="007D2402">
      <w:pPr>
        <w:pStyle w:val="ad"/>
        <w:tabs>
          <w:tab w:val="left" w:pos="993"/>
        </w:tabs>
        <w:spacing w:after="0" w:line="240" w:lineRule="auto"/>
        <w:ind w:left="709"/>
        <w:jc w:val="both"/>
        <w:outlineLvl w:val="0"/>
        <w:rPr>
          <w:rFonts w:ascii="Times New Roman" w:hAnsi="Times New Roman" w:cs="Times New Roman"/>
          <w:kern w:val="36"/>
          <w:sz w:val="24"/>
          <w:szCs w:val="24"/>
        </w:rPr>
      </w:pPr>
      <w:bookmarkStart w:id="1" w:name="Раздел4"/>
    </w:p>
    <w:p w:rsidR="000E74F1" w:rsidRPr="000B2FA8" w:rsidRDefault="000E74F1" w:rsidP="000E74F1">
      <w:pPr>
        <w:tabs>
          <w:tab w:val="left" w:pos="993"/>
        </w:tabs>
        <w:spacing w:after="0" w:line="240" w:lineRule="auto"/>
        <w:jc w:val="center"/>
        <w:rPr>
          <w:rFonts w:ascii="Times New Roman" w:hAnsi="Times New Roman" w:cs="Times New Roman"/>
          <w:sz w:val="24"/>
          <w:szCs w:val="24"/>
        </w:rPr>
      </w:pPr>
      <w:r w:rsidRPr="000B2FA8">
        <w:rPr>
          <w:rFonts w:ascii="Times New Roman" w:hAnsi="Times New Roman" w:cs="Times New Roman"/>
          <w:sz w:val="24"/>
          <w:szCs w:val="24"/>
        </w:rPr>
        <w:t>Глава 3. Заключительные положения</w:t>
      </w:r>
    </w:p>
    <w:p w:rsidR="00A16E84" w:rsidRPr="000B2FA8" w:rsidRDefault="00A16E84" w:rsidP="00E03063">
      <w:pPr>
        <w:tabs>
          <w:tab w:val="left" w:pos="993"/>
        </w:tabs>
        <w:spacing w:after="0" w:line="240" w:lineRule="auto"/>
        <w:jc w:val="center"/>
        <w:outlineLvl w:val="0"/>
        <w:rPr>
          <w:rFonts w:ascii="Times New Roman" w:hAnsi="Times New Roman" w:cs="Times New Roman"/>
          <w:kern w:val="36"/>
          <w:sz w:val="24"/>
          <w:szCs w:val="24"/>
        </w:rPr>
      </w:pPr>
    </w:p>
    <w:bookmarkEnd w:id="1"/>
    <w:p w:rsidR="006D5D86" w:rsidRPr="00BD312D" w:rsidRDefault="00BD312D" w:rsidP="00BD312D">
      <w:pPr>
        <w:tabs>
          <w:tab w:val="left" w:pos="993"/>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14. </w:t>
      </w:r>
      <w:r w:rsidR="00416879" w:rsidRPr="00BD312D">
        <w:rPr>
          <w:rFonts w:ascii="Times New Roman" w:hAnsi="Times New Roman" w:cs="Times New Roman"/>
          <w:sz w:val="24"/>
          <w:szCs w:val="24"/>
        </w:rPr>
        <w:t xml:space="preserve">Расчет стоимости чистых активов производится ежемесячно по состоянию на первое число месяца, следующего за отчетным, и представляется страховой организацией в Приднестровский республиканский банк в виде Отчета «Расчет стоимости чистых активов страховой организации» по форме, утвержденной нормативным актом Приднестровского республиканского банка, регламентирующим формы, сроки и порядок составления и представления отчетности страховыми организациями в Приднестровский республиканский банк (далее по тексту – Отчет), в срок не позднее 25 числа месяца, следующего за отчетным. (Изменён </w:t>
      </w:r>
      <w:r w:rsidR="00600703" w:rsidRPr="00BD312D">
        <w:rPr>
          <w:rFonts w:ascii="Times New Roman" w:hAnsi="Times New Roman" w:cs="Times New Roman"/>
          <w:sz w:val="24"/>
          <w:szCs w:val="24"/>
        </w:rPr>
        <w:t>У</w:t>
      </w:r>
      <w:r w:rsidR="00416879" w:rsidRPr="00BD312D">
        <w:rPr>
          <w:rFonts w:ascii="Times New Roman" w:hAnsi="Times New Roman" w:cs="Times New Roman"/>
          <w:sz w:val="24"/>
          <w:szCs w:val="24"/>
        </w:rPr>
        <w:t xml:space="preserve">казанием от 26.04.2016 </w:t>
      </w:r>
      <w:r w:rsidR="00416879" w:rsidRPr="00BD312D">
        <w:rPr>
          <w:rFonts w:ascii="Times New Roman" w:hAnsi="Times New Roman" w:cs="Times New Roman"/>
          <w:sz w:val="24"/>
          <w:szCs w:val="24"/>
          <w:lang w:val="en-US"/>
        </w:rPr>
        <w:t>N</w:t>
      </w:r>
      <w:r w:rsidR="00416879" w:rsidRPr="00BD312D">
        <w:rPr>
          <w:rFonts w:ascii="Times New Roman" w:hAnsi="Times New Roman" w:cs="Times New Roman"/>
          <w:sz w:val="24"/>
          <w:szCs w:val="24"/>
        </w:rPr>
        <w:t xml:space="preserve"> 1155-У).</w:t>
      </w:r>
      <w:r w:rsidR="00AF5EBA" w:rsidRPr="00BD312D">
        <w:rPr>
          <w:rFonts w:ascii="Times New Roman" w:hAnsi="Times New Roman" w:cs="Times New Roman"/>
          <w:sz w:val="24"/>
          <w:szCs w:val="24"/>
        </w:rPr>
        <w:t xml:space="preserve"> </w:t>
      </w:r>
    </w:p>
    <w:p w:rsidR="00AF5EBA" w:rsidRPr="000B2FA8" w:rsidRDefault="00AF5EBA" w:rsidP="006D5D86">
      <w:pPr>
        <w:pStyle w:val="ad"/>
        <w:tabs>
          <w:tab w:val="left" w:pos="993"/>
        </w:tabs>
        <w:spacing w:after="0" w:line="240" w:lineRule="auto"/>
        <w:ind w:left="0" w:firstLine="709"/>
        <w:jc w:val="both"/>
        <w:outlineLvl w:val="0"/>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В случае выявления Приднестровским республиканским банком фактов, свидетельствующих о недостоверности данных, отраженных в отчетности и документах, предоставленных страховой организацией в Приднестровский республиканский банк, а также несвоевременного представления отчетности и информации в Приднестровский республиканский банк, наличия сведений, позволяющих предположить возможность нарушения требований действующего законодательства Приднестровской Молдавской Республики и (или) ухудшения финансового состояния страховой организации, признаков несостоятельности (банкротства), иных оснований, определенных действующим законодательством Приднестровской Молдавской Республики</w:t>
      </w:r>
      <w:r w:rsidR="008534AB" w:rsidRPr="000B2FA8">
        <w:rPr>
          <w:rFonts w:ascii="Times New Roman" w:eastAsia="Times New Roman" w:hAnsi="Times New Roman" w:cs="Times New Roman"/>
          <w:sz w:val="24"/>
          <w:szCs w:val="24"/>
        </w:rPr>
        <w:t>, в том числе</w:t>
      </w:r>
      <w:r w:rsidRPr="000B2FA8">
        <w:rPr>
          <w:rFonts w:ascii="Times New Roman" w:eastAsia="Times New Roman" w:hAnsi="Times New Roman" w:cs="Times New Roman"/>
          <w:sz w:val="24"/>
          <w:szCs w:val="24"/>
        </w:rPr>
        <w:t xml:space="preserve"> нормативными актами Приднестровского республиканского банка, Приднестровский республиканский банк вправе обязать страховую организацию предоставлять Отчет на внутриотчетные даты.</w:t>
      </w:r>
    </w:p>
    <w:p w:rsidR="00AF5EBA" w:rsidRPr="000B2FA8" w:rsidRDefault="00AF5EBA" w:rsidP="00AF5EBA">
      <w:pPr>
        <w:pStyle w:val="ad"/>
        <w:numPr>
          <w:ilvl w:val="0"/>
          <w:numId w:val="3"/>
        </w:numPr>
        <w:tabs>
          <w:tab w:val="left" w:pos="993"/>
        </w:tabs>
        <w:spacing w:after="0" w:line="240" w:lineRule="auto"/>
        <w:ind w:left="0" w:firstLine="709"/>
        <w:jc w:val="both"/>
        <w:outlineLvl w:val="0"/>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Страховые организации в соответствии с </w:t>
      </w:r>
      <w:r w:rsidR="008534AB" w:rsidRPr="000B2FA8">
        <w:rPr>
          <w:rFonts w:ascii="Times New Roman" w:eastAsia="Times New Roman" w:hAnsi="Times New Roman" w:cs="Times New Roman"/>
          <w:sz w:val="24"/>
          <w:szCs w:val="24"/>
        </w:rPr>
        <w:t xml:space="preserve">действующим </w:t>
      </w:r>
      <w:r w:rsidRPr="000B2FA8">
        <w:rPr>
          <w:rFonts w:ascii="Times New Roman" w:eastAsia="Times New Roman" w:hAnsi="Times New Roman" w:cs="Times New Roman"/>
          <w:sz w:val="24"/>
          <w:szCs w:val="24"/>
        </w:rPr>
        <w:t>законодательством Приднестровской Молдавской Республики несут ответственность за достоверное и правильное составление представленно</w:t>
      </w:r>
      <w:r w:rsidR="008534AB" w:rsidRPr="000B2FA8">
        <w:rPr>
          <w:rFonts w:ascii="Times New Roman" w:eastAsia="Times New Roman" w:hAnsi="Times New Roman" w:cs="Times New Roman"/>
          <w:sz w:val="24"/>
          <w:szCs w:val="24"/>
        </w:rPr>
        <w:t>го</w:t>
      </w:r>
      <w:r w:rsidRPr="000B2FA8">
        <w:rPr>
          <w:rFonts w:ascii="Times New Roman" w:eastAsia="Times New Roman" w:hAnsi="Times New Roman" w:cs="Times New Roman"/>
          <w:sz w:val="24"/>
          <w:szCs w:val="24"/>
        </w:rPr>
        <w:t xml:space="preserve"> </w:t>
      </w:r>
      <w:r w:rsidR="008534AB" w:rsidRPr="000B2FA8">
        <w:rPr>
          <w:rFonts w:ascii="Times New Roman" w:eastAsia="Times New Roman" w:hAnsi="Times New Roman" w:cs="Times New Roman"/>
          <w:sz w:val="24"/>
          <w:szCs w:val="24"/>
        </w:rPr>
        <w:t>Отчета</w:t>
      </w:r>
      <w:r w:rsidRPr="000B2FA8">
        <w:rPr>
          <w:rFonts w:ascii="Times New Roman" w:eastAsia="Times New Roman" w:hAnsi="Times New Roman" w:cs="Times New Roman"/>
          <w:sz w:val="24"/>
          <w:szCs w:val="24"/>
        </w:rPr>
        <w:t>.</w:t>
      </w:r>
    </w:p>
    <w:p w:rsidR="00A16E84" w:rsidRPr="000E74F1" w:rsidRDefault="00A36399" w:rsidP="000E74F1">
      <w:pPr>
        <w:pStyle w:val="ad"/>
        <w:numPr>
          <w:ilvl w:val="0"/>
          <w:numId w:val="3"/>
        </w:numPr>
        <w:tabs>
          <w:tab w:val="left" w:pos="993"/>
        </w:tabs>
        <w:spacing w:after="0" w:line="240" w:lineRule="auto"/>
        <w:ind w:left="0" w:firstLine="709"/>
        <w:jc w:val="both"/>
        <w:outlineLvl w:val="0"/>
        <w:rPr>
          <w:rFonts w:ascii="Times New Roman" w:hAnsi="Times New Roman"/>
          <w:sz w:val="24"/>
          <w:szCs w:val="24"/>
        </w:rPr>
      </w:pPr>
      <w:r w:rsidRPr="000B2FA8">
        <w:rPr>
          <w:rFonts w:ascii="Times New Roman" w:eastAsia="Times New Roman" w:hAnsi="Times New Roman" w:cs="Times New Roman"/>
          <w:sz w:val="24"/>
          <w:szCs w:val="24"/>
        </w:rPr>
        <w:t>Отчет составляется страховой организацией в рублях</w:t>
      </w:r>
      <w:r w:rsidR="00E94BB2" w:rsidRPr="000B2FA8">
        <w:rPr>
          <w:rFonts w:ascii="Times New Roman" w:eastAsia="Times New Roman" w:hAnsi="Times New Roman" w:cs="Times New Roman"/>
          <w:sz w:val="24"/>
          <w:szCs w:val="24"/>
        </w:rPr>
        <w:t xml:space="preserve"> Приднестровской Молдавской Республики</w:t>
      </w:r>
      <w:r w:rsidRPr="000B2FA8">
        <w:rPr>
          <w:rFonts w:ascii="Times New Roman" w:eastAsia="Times New Roman" w:hAnsi="Times New Roman" w:cs="Times New Roman"/>
          <w:sz w:val="24"/>
          <w:szCs w:val="24"/>
        </w:rPr>
        <w:t xml:space="preserve">. При составлении </w:t>
      </w:r>
      <w:r w:rsidR="0074086E" w:rsidRPr="000B2FA8">
        <w:rPr>
          <w:rFonts w:ascii="Times New Roman" w:eastAsia="Times New Roman" w:hAnsi="Times New Roman" w:cs="Times New Roman"/>
          <w:sz w:val="24"/>
          <w:szCs w:val="24"/>
        </w:rPr>
        <w:t>О</w:t>
      </w:r>
      <w:r w:rsidRPr="000B2FA8">
        <w:rPr>
          <w:rFonts w:ascii="Times New Roman" w:eastAsia="Times New Roman" w:hAnsi="Times New Roman" w:cs="Times New Roman"/>
          <w:sz w:val="24"/>
          <w:szCs w:val="24"/>
        </w:rPr>
        <w:t>тчета учитывается</w:t>
      </w:r>
      <w:r w:rsidRPr="008D3D11">
        <w:rPr>
          <w:rFonts w:ascii="Times New Roman" w:eastAsia="Times New Roman" w:hAnsi="Times New Roman" w:cs="Times New Roman"/>
          <w:sz w:val="24"/>
          <w:szCs w:val="24"/>
        </w:rPr>
        <w:t xml:space="preserve"> </w:t>
      </w:r>
      <w:r w:rsidR="00277AD8" w:rsidRPr="00897D12">
        <w:rPr>
          <w:rFonts w:ascii="Times New Roman" w:eastAsia="Times New Roman" w:hAnsi="Times New Roman" w:cs="Times New Roman"/>
          <w:sz w:val="24"/>
          <w:szCs w:val="24"/>
        </w:rPr>
        <w:t>методика</w:t>
      </w:r>
      <w:r w:rsidRPr="00277AD8">
        <w:rPr>
          <w:rFonts w:ascii="Times New Roman" w:eastAsia="Times New Roman" w:hAnsi="Times New Roman" w:cs="Times New Roman"/>
          <w:sz w:val="24"/>
          <w:szCs w:val="24"/>
        </w:rPr>
        <w:t xml:space="preserve"> </w:t>
      </w:r>
      <w:r w:rsidRPr="008D3D11">
        <w:rPr>
          <w:rFonts w:ascii="Times New Roman" w:eastAsia="Times New Roman" w:hAnsi="Times New Roman" w:cs="Times New Roman"/>
          <w:sz w:val="24"/>
          <w:szCs w:val="24"/>
        </w:rPr>
        <w:t xml:space="preserve">определения и </w:t>
      </w:r>
      <w:r w:rsidRPr="000E74F1">
        <w:rPr>
          <w:rFonts w:ascii="Times New Roman" w:hAnsi="Times New Roman"/>
          <w:sz w:val="24"/>
          <w:szCs w:val="24"/>
        </w:rPr>
        <w:t>отражения отчетных данных, изложенн</w:t>
      </w:r>
      <w:r w:rsidR="004C3D18">
        <w:rPr>
          <w:rFonts w:ascii="Times New Roman" w:hAnsi="Times New Roman"/>
          <w:sz w:val="24"/>
          <w:szCs w:val="24"/>
        </w:rPr>
        <w:t>ая</w:t>
      </w:r>
      <w:r w:rsidRPr="000E74F1">
        <w:rPr>
          <w:rFonts w:ascii="Times New Roman" w:hAnsi="Times New Roman"/>
          <w:sz w:val="24"/>
          <w:szCs w:val="24"/>
        </w:rPr>
        <w:t xml:space="preserve"> в </w:t>
      </w:r>
      <w:r w:rsidR="005F0FE2" w:rsidRPr="000E74F1">
        <w:rPr>
          <w:rFonts w:ascii="Times New Roman" w:hAnsi="Times New Roman"/>
          <w:sz w:val="24"/>
          <w:szCs w:val="24"/>
        </w:rPr>
        <w:t>Главе</w:t>
      </w:r>
      <w:r w:rsidR="0074086E" w:rsidRPr="000E74F1">
        <w:rPr>
          <w:rFonts w:ascii="Times New Roman" w:hAnsi="Times New Roman"/>
          <w:sz w:val="24"/>
          <w:szCs w:val="24"/>
        </w:rPr>
        <w:t xml:space="preserve"> 2 настоящей Инструкции.</w:t>
      </w:r>
    </w:p>
    <w:p w:rsidR="005C3FB7" w:rsidRPr="00600703" w:rsidRDefault="005C3FB7" w:rsidP="000E74F1">
      <w:pPr>
        <w:pStyle w:val="ad"/>
        <w:numPr>
          <w:ilvl w:val="0"/>
          <w:numId w:val="3"/>
        </w:numPr>
        <w:tabs>
          <w:tab w:val="left" w:pos="993"/>
        </w:tabs>
        <w:spacing w:after="0" w:line="240" w:lineRule="auto"/>
        <w:ind w:left="0" w:firstLine="709"/>
        <w:jc w:val="both"/>
        <w:outlineLvl w:val="0"/>
        <w:rPr>
          <w:rFonts w:ascii="Times New Roman" w:hAnsi="Times New Roman" w:cs="Times New Roman"/>
          <w:bCs/>
          <w:sz w:val="24"/>
          <w:szCs w:val="24"/>
        </w:rPr>
      </w:pPr>
      <w:r w:rsidRPr="000E74F1">
        <w:rPr>
          <w:rFonts w:ascii="Times New Roman" w:hAnsi="Times New Roman"/>
          <w:sz w:val="24"/>
          <w:szCs w:val="24"/>
        </w:rPr>
        <w:t>Настоящ</w:t>
      </w:r>
      <w:r w:rsidR="00D5088A" w:rsidRPr="000E74F1">
        <w:rPr>
          <w:rFonts w:ascii="Times New Roman" w:hAnsi="Times New Roman"/>
          <w:sz w:val="24"/>
          <w:szCs w:val="24"/>
        </w:rPr>
        <w:t>ая</w:t>
      </w:r>
      <w:r w:rsidRPr="000E74F1">
        <w:rPr>
          <w:rFonts w:ascii="Times New Roman" w:hAnsi="Times New Roman"/>
          <w:sz w:val="24"/>
          <w:szCs w:val="24"/>
        </w:rPr>
        <w:t xml:space="preserve"> </w:t>
      </w:r>
      <w:r w:rsidR="00D5088A" w:rsidRPr="000E74F1">
        <w:rPr>
          <w:rFonts w:ascii="Times New Roman" w:hAnsi="Times New Roman"/>
          <w:sz w:val="24"/>
          <w:szCs w:val="24"/>
        </w:rPr>
        <w:t>Инструкция</w:t>
      </w:r>
      <w:r w:rsidRPr="000E74F1">
        <w:rPr>
          <w:rFonts w:ascii="Times New Roman" w:hAnsi="Times New Roman"/>
          <w:sz w:val="24"/>
          <w:szCs w:val="24"/>
        </w:rPr>
        <w:t xml:space="preserve"> вступает в силу по истечении 7 (семи) рабочих дней со дня официального</w:t>
      </w:r>
      <w:r w:rsidRPr="008D3D11">
        <w:rPr>
          <w:rFonts w:ascii="Times New Roman" w:hAnsi="Times New Roman" w:cs="Times New Roman"/>
          <w:sz w:val="24"/>
          <w:szCs w:val="24"/>
        </w:rPr>
        <w:t xml:space="preserve"> опубликования</w:t>
      </w:r>
      <w:r w:rsidR="00B532EA">
        <w:rPr>
          <w:rFonts w:ascii="Times New Roman" w:hAnsi="Times New Roman" w:cs="Times New Roman"/>
          <w:sz w:val="24"/>
          <w:szCs w:val="24"/>
        </w:rPr>
        <w:t xml:space="preserve"> с предоставлением отчетности, начиная с отчетной даты по состоянию на</w:t>
      </w:r>
      <w:r w:rsidR="00600703" w:rsidRPr="00600703">
        <w:rPr>
          <w:b/>
          <w:szCs w:val="24"/>
        </w:rPr>
        <w:t xml:space="preserve"> </w:t>
      </w:r>
      <w:r w:rsidR="00600703" w:rsidRPr="00B148EC">
        <w:rPr>
          <w:rFonts w:ascii="Times New Roman" w:hAnsi="Times New Roman" w:cs="Times New Roman"/>
          <w:sz w:val="24"/>
          <w:szCs w:val="24"/>
        </w:rPr>
        <w:t>1 июля 2019 года</w:t>
      </w:r>
      <w:r w:rsidR="00600703">
        <w:rPr>
          <w:rFonts w:ascii="Times New Roman" w:hAnsi="Times New Roman" w:cs="Times New Roman"/>
          <w:sz w:val="24"/>
          <w:szCs w:val="24"/>
        </w:rPr>
        <w:t xml:space="preserve"> (Изменено Указанием от 26.04.2016 </w:t>
      </w:r>
      <w:r w:rsidR="00600703">
        <w:rPr>
          <w:rFonts w:ascii="Times New Roman" w:hAnsi="Times New Roman" w:cs="Times New Roman"/>
          <w:sz w:val="24"/>
          <w:szCs w:val="24"/>
          <w:lang w:val="en-US"/>
        </w:rPr>
        <w:t>N</w:t>
      </w:r>
      <w:r w:rsidR="00600703" w:rsidRPr="00600703">
        <w:rPr>
          <w:rFonts w:ascii="Times New Roman" w:hAnsi="Times New Roman" w:cs="Times New Roman"/>
          <w:sz w:val="24"/>
          <w:szCs w:val="24"/>
        </w:rPr>
        <w:t xml:space="preserve"> 1155-</w:t>
      </w:r>
      <w:r w:rsidR="00600703">
        <w:rPr>
          <w:rFonts w:ascii="Times New Roman" w:hAnsi="Times New Roman" w:cs="Times New Roman"/>
          <w:sz w:val="24"/>
          <w:szCs w:val="24"/>
        </w:rPr>
        <w:t>У)</w:t>
      </w:r>
      <w:r w:rsidRPr="00600703">
        <w:rPr>
          <w:rFonts w:ascii="Times New Roman" w:hAnsi="Times New Roman" w:cs="Times New Roman"/>
          <w:sz w:val="24"/>
          <w:szCs w:val="24"/>
        </w:rPr>
        <w:t>.</w:t>
      </w:r>
      <w:r w:rsidR="00B532EA" w:rsidRPr="00600703">
        <w:rPr>
          <w:rFonts w:ascii="Times New Roman" w:hAnsi="Times New Roman" w:cs="Times New Roman"/>
          <w:sz w:val="24"/>
          <w:szCs w:val="24"/>
        </w:rPr>
        <w:t xml:space="preserve"> </w:t>
      </w:r>
    </w:p>
    <w:p w:rsidR="005C3FB7" w:rsidRDefault="005C3FB7" w:rsidP="005C3FB7">
      <w:pPr>
        <w:tabs>
          <w:tab w:val="left" w:pos="7938"/>
        </w:tabs>
        <w:spacing w:after="0" w:line="240" w:lineRule="auto"/>
        <w:jc w:val="both"/>
        <w:rPr>
          <w:rFonts w:ascii="Times New Roman" w:hAnsi="Times New Roman" w:cs="Times New Roman"/>
          <w:b/>
          <w:bCs/>
          <w:sz w:val="24"/>
          <w:szCs w:val="24"/>
        </w:rPr>
      </w:pPr>
    </w:p>
    <w:p w:rsidR="006D5D86" w:rsidRDefault="006D5D86" w:rsidP="005C3FB7">
      <w:pPr>
        <w:tabs>
          <w:tab w:val="left" w:pos="7938"/>
        </w:tabs>
        <w:spacing w:after="0" w:line="240" w:lineRule="auto"/>
        <w:jc w:val="both"/>
        <w:rPr>
          <w:rFonts w:ascii="Times New Roman" w:hAnsi="Times New Roman" w:cs="Times New Roman"/>
          <w:b/>
          <w:bCs/>
          <w:sz w:val="24"/>
          <w:szCs w:val="24"/>
        </w:rPr>
      </w:pPr>
    </w:p>
    <w:p w:rsidR="005C3FB7" w:rsidRPr="008D3D11" w:rsidRDefault="005C3FB7" w:rsidP="005C3FB7">
      <w:pPr>
        <w:tabs>
          <w:tab w:val="left" w:pos="7938"/>
        </w:tabs>
        <w:spacing w:after="0" w:line="240" w:lineRule="auto"/>
        <w:jc w:val="both"/>
        <w:rPr>
          <w:rFonts w:ascii="Times New Roman" w:hAnsi="Times New Roman" w:cs="Times New Roman"/>
          <w:b/>
          <w:bCs/>
          <w:sz w:val="24"/>
          <w:szCs w:val="24"/>
        </w:rPr>
      </w:pPr>
      <w:r w:rsidRPr="008D3D11">
        <w:rPr>
          <w:rFonts w:ascii="Times New Roman" w:hAnsi="Times New Roman" w:cs="Times New Roman"/>
          <w:sz w:val="24"/>
          <w:szCs w:val="24"/>
        </w:rPr>
        <w:t xml:space="preserve">Председатель банка </w:t>
      </w:r>
      <w:r w:rsidRPr="008D3D11">
        <w:rPr>
          <w:rFonts w:ascii="Times New Roman" w:hAnsi="Times New Roman" w:cs="Times New Roman"/>
          <w:sz w:val="24"/>
          <w:szCs w:val="24"/>
        </w:rPr>
        <w:tab/>
      </w:r>
      <w:r w:rsidRPr="008D3D11">
        <w:rPr>
          <w:rFonts w:ascii="Times New Roman" w:hAnsi="Times New Roman" w:cs="Times New Roman"/>
          <w:sz w:val="24"/>
          <w:szCs w:val="24"/>
        </w:rPr>
        <w:tab/>
        <w:t>В.С. Тидва</w:t>
      </w:r>
    </w:p>
    <w:p w:rsidR="005C3FB7" w:rsidRDefault="005C3FB7" w:rsidP="005C3FB7">
      <w:pPr>
        <w:spacing w:after="0" w:line="240" w:lineRule="auto"/>
        <w:jc w:val="both"/>
        <w:rPr>
          <w:rFonts w:ascii="Times New Roman" w:hAnsi="Times New Roman" w:cs="Times New Roman"/>
          <w:b/>
          <w:bCs/>
          <w:sz w:val="24"/>
          <w:szCs w:val="24"/>
        </w:rPr>
      </w:pPr>
    </w:p>
    <w:p w:rsidR="005C3FB7" w:rsidRPr="008D3D11" w:rsidRDefault="005C3FB7" w:rsidP="005C3FB7">
      <w:pPr>
        <w:spacing w:after="0" w:line="240" w:lineRule="auto"/>
        <w:rPr>
          <w:rFonts w:ascii="Times New Roman" w:hAnsi="Times New Roman" w:cs="Times New Roman"/>
          <w:b/>
          <w:bCs/>
          <w:sz w:val="24"/>
          <w:szCs w:val="24"/>
        </w:rPr>
      </w:pPr>
      <w:r w:rsidRPr="008D3D11">
        <w:rPr>
          <w:rFonts w:ascii="Times New Roman" w:hAnsi="Times New Roman" w:cs="Times New Roman"/>
          <w:sz w:val="24"/>
          <w:szCs w:val="24"/>
        </w:rPr>
        <w:t>г.Тирасполь</w:t>
      </w:r>
    </w:p>
    <w:p w:rsidR="005C3FB7" w:rsidRPr="008D3D11" w:rsidRDefault="0026331D" w:rsidP="005C3FB7">
      <w:pPr>
        <w:spacing w:after="0" w:line="240" w:lineRule="auto"/>
        <w:rPr>
          <w:rFonts w:ascii="Times New Roman" w:hAnsi="Times New Roman" w:cs="Times New Roman"/>
          <w:b/>
          <w:bCs/>
          <w:sz w:val="24"/>
          <w:szCs w:val="24"/>
        </w:rPr>
      </w:pPr>
      <w:r>
        <w:rPr>
          <w:rFonts w:ascii="Times New Roman" w:hAnsi="Times New Roman" w:cs="Times New Roman"/>
          <w:sz w:val="24"/>
          <w:szCs w:val="24"/>
        </w:rPr>
        <w:t>23</w:t>
      </w:r>
      <w:r w:rsidR="005C3FB7" w:rsidRPr="008D3D11">
        <w:rPr>
          <w:rFonts w:ascii="Times New Roman" w:hAnsi="Times New Roman" w:cs="Times New Roman"/>
          <w:sz w:val="24"/>
          <w:szCs w:val="24"/>
        </w:rPr>
        <w:t xml:space="preserve"> </w:t>
      </w:r>
      <w:r>
        <w:rPr>
          <w:rFonts w:ascii="Times New Roman" w:hAnsi="Times New Roman" w:cs="Times New Roman"/>
          <w:sz w:val="24"/>
          <w:szCs w:val="24"/>
        </w:rPr>
        <w:t>октября</w:t>
      </w:r>
      <w:r w:rsidR="005C3FB7" w:rsidRPr="008D3D11">
        <w:rPr>
          <w:rFonts w:ascii="Times New Roman" w:hAnsi="Times New Roman" w:cs="Times New Roman"/>
          <w:sz w:val="24"/>
          <w:szCs w:val="24"/>
        </w:rPr>
        <w:t xml:space="preserve"> 2018 г</w:t>
      </w:r>
      <w:r w:rsidR="00FA7CF7" w:rsidRPr="008D3D11">
        <w:rPr>
          <w:rFonts w:ascii="Times New Roman" w:hAnsi="Times New Roman" w:cs="Times New Roman"/>
          <w:sz w:val="24"/>
          <w:szCs w:val="24"/>
        </w:rPr>
        <w:t>.</w:t>
      </w:r>
    </w:p>
    <w:p w:rsidR="005C3FB7" w:rsidRDefault="005C3FB7" w:rsidP="005C3FB7">
      <w:pPr>
        <w:spacing w:after="0" w:line="240" w:lineRule="auto"/>
        <w:rPr>
          <w:rFonts w:ascii="Times New Roman" w:hAnsi="Times New Roman" w:cs="Times New Roman"/>
          <w:sz w:val="24"/>
          <w:szCs w:val="24"/>
        </w:rPr>
      </w:pPr>
      <w:r w:rsidRPr="008D3D11">
        <w:rPr>
          <w:rFonts w:ascii="Times New Roman" w:hAnsi="Times New Roman" w:cs="Times New Roman"/>
          <w:sz w:val="24"/>
          <w:szCs w:val="24"/>
          <w:lang w:val="en-US"/>
        </w:rPr>
        <w:t>N</w:t>
      </w:r>
      <w:r w:rsidRPr="008D3D11">
        <w:rPr>
          <w:rFonts w:ascii="Times New Roman" w:hAnsi="Times New Roman" w:cs="Times New Roman"/>
          <w:sz w:val="24"/>
          <w:szCs w:val="24"/>
        </w:rPr>
        <w:t xml:space="preserve"> </w:t>
      </w:r>
      <w:r w:rsidR="0026331D">
        <w:rPr>
          <w:rFonts w:ascii="Times New Roman" w:hAnsi="Times New Roman" w:cs="Times New Roman"/>
          <w:sz w:val="24"/>
          <w:szCs w:val="24"/>
        </w:rPr>
        <w:t>39</w:t>
      </w:r>
      <w:r w:rsidRPr="008D3D11">
        <w:rPr>
          <w:rFonts w:ascii="Times New Roman" w:hAnsi="Times New Roman" w:cs="Times New Roman"/>
          <w:sz w:val="24"/>
          <w:szCs w:val="24"/>
        </w:rPr>
        <w:t>-</w:t>
      </w:r>
      <w:r w:rsidR="00D5088A" w:rsidRPr="008D3D11">
        <w:rPr>
          <w:rFonts w:ascii="Times New Roman" w:hAnsi="Times New Roman" w:cs="Times New Roman"/>
          <w:sz w:val="24"/>
          <w:szCs w:val="24"/>
        </w:rPr>
        <w:t>И</w:t>
      </w: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Pr="00062CC4" w:rsidRDefault="00062CC4" w:rsidP="00062CC4">
      <w:pPr>
        <w:tabs>
          <w:tab w:val="left" w:pos="644"/>
        </w:tabs>
        <w:autoSpaceDE w:val="0"/>
        <w:autoSpaceDN w:val="0"/>
        <w:adjustRightInd w:val="0"/>
        <w:spacing w:after="0" w:line="240" w:lineRule="auto"/>
        <w:ind w:firstLine="709"/>
        <w:jc w:val="both"/>
        <w:rPr>
          <w:rFonts w:ascii="Times New Roman" w:hAnsi="Times New Roman" w:cs="Times New Roman"/>
          <w:b/>
          <w:sz w:val="24"/>
          <w:szCs w:val="24"/>
        </w:rPr>
      </w:pPr>
    </w:p>
    <w:p w:rsidR="00062CC4" w:rsidRPr="00062CC4" w:rsidRDefault="00062CC4" w:rsidP="00FE5B3A">
      <w:pPr>
        <w:autoSpaceDE w:val="0"/>
        <w:autoSpaceDN w:val="0"/>
        <w:adjustRightInd w:val="0"/>
        <w:spacing w:after="0" w:line="240" w:lineRule="auto"/>
        <w:ind w:left="4678"/>
        <w:jc w:val="both"/>
        <w:rPr>
          <w:rFonts w:ascii="Times New Roman" w:hAnsi="Times New Roman" w:cs="Times New Roman"/>
          <w:sz w:val="24"/>
          <w:szCs w:val="24"/>
        </w:rPr>
      </w:pPr>
      <w:r w:rsidRPr="00062CC4">
        <w:rPr>
          <w:rFonts w:ascii="Times New Roman" w:hAnsi="Times New Roman" w:cs="Times New Roman"/>
          <w:sz w:val="24"/>
          <w:szCs w:val="24"/>
        </w:rPr>
        <w:t xml:space="preserve">Приложение N 1 </w:t>
      </w:r>
    </w:p>
    <w:p w:rsidR="00FE5B3A" w:rsidRDefault="00062CC4" w:rsidP="00FE5B3A">
      <w:pPr>
        <w:autoSpaceDE w:val="0"/>
        <w:autoSpaceDN w:val="0"/>
        <w:adjustRightInd w:val="0"/>
        <w:spacing w:after="0" w:line="240" w:lineRule="auto"/>
        <w:ind w:left="4678"/>
        <w:jc w:val="both"/>
        <w:rPr>
          <w:rFonts w:ascii="Times New Roman" w:hAnsi="Times New Roman" w:cs="Times New Roman"/>
          <w:sz w:val="24"/>
          <w:szCs w:val="24"/>
        </w:rPr>
      </w:pPr>
      <w:r w:rsidRPr="00062CC4">
        <w:rPr>
          <w:rFonts w:ascii="Times New Roman" w:hAnsi="Times New Roman" w:cs="Times New Roman"/>
          <w:sz w:val="24"/>
          <w:szCs w:val="24"/>
        </w:rPr>
        <w:t>к Инструкции Приднестровского республиканского банка от 23 октября 2018 года N 39-И «О порядке расчета стоимости чистых активов страховой организации»</w:t>
      </w:r>
    </w:p>
    <w:p w:rsidR="00062CC4" w:rsidRDefault="00062CC4" w:rsidP="00FE5B3A">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(Изменено Указанием от 22.08.2019 </w:t>
      </w:r>
      <w:r>
        <w:rPr>
          <w:rFonts w:ascii="Times New Roman" w:hAnsi="Times New Roman" w:cs="Times New Roman"/>
          <w:sz w:val="24"/>
          <w:szCs w:val="24"/>
          <w:lang w:val="en-US"/>
        </w:rPr>
        <w:t>N</w:t>
      </w:r>
      <w:r w:rsidRPr="002E63A6">
        <w:rPr>
          <w:rFonts w:ascii="Times New Roman" w:hAnsi="Times New Roman" w:cs="Times New Roman"/>
          <w:sz w:val="24"/>
          <w:szCs w:val="24"/>
        </w:rPr>
        <w:t xml:space="preserve"> 1179-</w:t>
      </w:r>
      <w:r>
        <w:rPr>
          <w:rFonts w:ascii="Times New Roman" w:hAnsi="Times New Roman" w:cs="Times New Roman"/>
          <w:sz w:val="24"/>
          <w:szCs w:val="24"/>
        </w:rPr>
        <w:t>У)</w:t>
      </w:r>
    </w:p>
    <w:p w:rsidR="00062CC4" w:rsidRPr="000B2FA8" w:rsidRDefault="00062CC4" w:rsidP="00FE5B3A">
      <w:pPr>
        <w:pStyle w:val="ad"/>
        <w:tabs>
          <w:tab w:val="left" w:pos="993"/>
        </w:tabs>
        <w:spacing w:after="0" w:line="240" w:lineRule="auto"/>
        <w:ind w:left="4678" w:firstLine="4962"/>
        <w:jc w:val="both"/>
        <w:outlineLvl w:val="0"/>
        <w:rPr>
          <w:rFonts w:ascii="Times New Roman" w:hAnsi="Times New Roman" w:cs="Times New Roman"/>
          <w:kern w:val="36"/>
          <w:sz w:val="24"/>
          <w:szCs w:val="24"/>
        </w:rPr>
      </w:pPr>
    </w:p>
    <w:p w:rsidR="00062CC4" w:rsidRPr="00062CC4" w:rsidRDefault="00062CC4" w:rsidP="00062CC4">
      <w:pPr>
        <w:autoSpaceDE w:val="0"/>
        <w:autoSpaceDN w:val="0"/>
        <w:adjustRightInd w:val="0"/>
        <w:spacing w:after="0" w:line="240" w:lineRule="auto"/>
        <w:ind w:left="4962"/>
        <w:jc w:val="both"/>
        <w:rPr>
          <w:rFonts w:ascii="Times New Roman" w:hAnsi="Times New Roman" w:cs="Times New Roman"/>
          <w:sz w:val="24"/>
          <w:szCs w:val="24"/>
        </w:rPr>
      </w:pPr>
    </w:p>
    <w:p w:rsidR="00062CC4" w:rsidRPr="00062CC4" w:rsidRDefault="00062CC4" w:rsidP="00062CC4">
      <w:pPr>
        <w:pStyle w:val="31"/>
        <w:spacing w:after="0" w:line="240" w:lineRule="auto"/>
        <w:ind w:firstLine="709"/>
        <w:jc w:val="both"/>
        <w:rPr>
          <w:rFonts w:ascii="Times New Roman" w:hAnsi="Times New Roman" w:cs="Times New Roman"/>
          <w:b/>
          <w:sz w:val="24"/>
          <w:szCs w:val="24"/>
        </w:rPr>
      </w:pPr>
    </w:p>
    <w:p w:rsidR="00062CC4" w:rsidRPr="00062CC4" w:rsidRDefault="00062CC4" w:rsidP="00062CC4">
      <w:pPr>
        <w:autoSpaceDE w:val="0"/>
        <w:autoSpaceDN w:val="0"/>
        <w:adjustRightInd w:val="0"/>
        <w:spacing w:after="0" w:line="240" w:lineRule="auto"/>
        <w:ind w:firstLine="34"/>
        <w:jc w:val="center"/>
        <w:rPr>
          <w:rFonts w:ascii="Times New Roman" w:hAnsi="Times New Roman" w:cs="Times New Roman"/>
          <w:sz w:val="24"/>
          <w:szCs w:val="24"/>
        </w:rPr>
      </w:pPr>
      <w:r w:rsidRPr="00062CC4">
        <w:rPr>
          <w:rFonts w:ascii="Times New Roman" w:hAnsi="Times New Roman" w:cs="Times New Roman"/>
          <w:sz w:val="24"/>
          <w:szCs w:val="24"/>
        </w:rPr>
        <w:t>Методика расчета резерва по сомнительным долгам</w:t>
      </w:r>
    </w:p>
    <w:p w:rsidR="00062CC4" w:rsidRPr="00062CC4" w:rsidRDefault="00062CC4" w:rsidP="00062CC4">
      <w:pPr>
        <w:tabs>
          <w:tab w:val="left" w:pos="993"/>
          <w:tab w:val="left" w:pos="1134"/>
          <w:tab w:val="left" w:pos="1276"/>
        </w:tabs>
        <w:spacing w:after="0" w:line="240" w:lineRule="auto"/>
        <w:ind w:left="31" w:firstLine="284"/>
        <w:jc w:val="both"/>
        <w:rPr>
          <w:rFonts w:ascii="Times New Roman" w:hAnsi="Times New Roman" w:cs="Times New Roman"/>
          <w:sz w:val="24"/>
          <w:szCs w:val="24"/>
        </w:rPr>
      </w:pP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Размер резерва по сомнительным долгам определяется отдельно в отношении каждого контрагента.</w:t>
      </w: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Основанием для расчета резерва по сомнительным долгам являются результаты мониторинга дебиторской задолженности на последний день отчетного периода на предмет наличия сомнительного долга. По результатам мониторинга не реже одного раза в квартал оформляются аналитические данные в произвольной форме, которые должны содержать следующую информацию о:</w:t>
      </w:r>
    </w:p>
    <w:p w:rsidR="00062CC4" w:rsidRPr="00062CC4" w:rsidRDefault="00062CC4" w:rsidP="00062CC4">
      <w:pPr>
        <w:pStyle w:val="ad"/>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а) сумме сомнительных долгов;</w:t>
      </w:r>
    </w:p>
    <w:p w:rsidR="00062CC4" w:rsidRPr="00062CC4" w:rsidRDefault="00062CC4" w:rsidP="00062CC4">
      <w:pPr>
        <w:pStyle w:val="ad"/>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б) соблюдении сроков погашения обязательств по договорам на выполнение работ, оказание услуг и т.п.;</w:t>
      </w:r>
    </w:p>
    <w:p w:rsidR="00062CC4" w:rsidRPr="00062CC4" w:rsidRDefault="00062CC4" w:rsidP="00062CC4">
      <w:pPr>
        <w:pStyle w:val="ad"/>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в) размере расчетного резерва и размере сформированного резерва (при его наличии);</w:t>
      </w:r>
    </w:p>
    <w:p w:rsidR="00062CC4" w:rsidRPr="00062CC4" w:rsidRDefault="00062CC4" w:rsidP="00062CC4">
      <w:pPr>
        <w:pStyle w:val="ad"/>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г) прочую необходимую информацию.</w:t>
      </w: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sz w:val="24"/>
          <w:szCs w:val="24"/>
        </w:rPr>
        <w:t>Резерв по сомнительным долгам рассчитывается с учетом фактора длительности непогашения в срок обязательств по договорам о выполнении работ, оказании услуг и т.п. в соответствии с Таблицей 1 настоящего пункта.</w:t>
      </w:r>
    </w:p>
    <w:p w:rsidR="00062CC4" w:rsidRPr="00062CC4" w:rsidRDefault="00062CC4" w:rsidP="00062CC4">
      <w:pPr>
        <w:tabs>
          <w:tab w:val="left" w:pos="993"/>
          <w:tab w:val="left" w:pos="1134"/>
        </w:tabs>
        <w:spacing w:after="0" w:line="240" w:lineRule="auto"/>
        <w:ind w:firstLine="716"/>
        <w:jc w:val="right"/>
        <w:rPr>
          <w:rFonts w:ascii="Times New Roman" w:hAnsi="Times New Roman" w:cs="Times New Roman"/>
          <w:sz w:val="24"/>
          <w:szCs w:val="24"/>
        </w:rPr>
      </w:pPr>
      <w:r w:rsidRPr="00062CC4">
        <w:rPr>
          <w:rFonts w:ascii="Times New Roman" w:hAnsi="Times New Roman" w:cs="Times New Roman"/>
          <w:sz w:val="24"/>
          <w:szCs w:val="24"/>
        </w:rPr>
        <w:t>Таблица 1</w:t>
      </w:r>
    </w:p>
    <w:tbl>
      <w:tblPr>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0"/>
        <w:gridCol w:w="2409"/>
      </w:tblGrid>
      <w:tr w:rsidR="00062CC4" w:rsidRPr="00062CC4" w:rsidTr="00A61EF6">
        <w:trPr>
          <w:jc w:val="center"/>
        </w:trPr>
        <w:tc>
          <w:tcPr>
            <w:tcW w:w="4370" w:type="dxa"/>
          </w:tcPr>
          <w:p w:rsidR="00062CC4" w:rsidRPr="00062CC4" w:rsidRDefault="00062CC4" w:rsidP="00062CC4">
            <w:pPr>
              <w:tabs>
                <w:tab w:val="left" w:pos="993"/>
                <w:tab w:val="left" w:pos="1134"/>
              </w:tabs>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 xml:space="preserve">Длительность непогашения в срок </w:t>
            </w:r>
            <w:r w:rsidRPr="00062CC4">
              <w:rPr>
                <w:rFonts w:ascii="Times New Roman" w:hAnsi="Times New Roman" w:cs="Times New Roman"/>
                <w:bCs/>
                <w:sz w:val="24"/>
                <w:szCs w:val="24"/>
              </w:rPr>
              <w:t>обязательств по договорам на выполнение работ, оказание услуг и т.п.</w:t>
            </w:r>
          </w:p>
        </w:tc>
        <w:tc>
          <w:tcPr>
            <w:tcW w:w="2409" w:type="dxa"/>
          </w:tcPr>
          <w:p w:rsidR="00062CC4" w:rsidRPr="00062CC4" w:rsidRDefault="00062CC4" w:rsidP="00062CC4">
            <w:pPr>
              <w:tabs>
                <w:tab w:val="left" w:pos="993"/>
                <w:tab w:val="left" w:pos="1134"/>
              </w:tabs>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Размер расчетного резерва (в %)</w:t>
            </w:r>
          </w:p>
        </w:tc>
      </w:tr>
      <w:tr w:rsidR="00062CC4" w:rsidRPr="00062CC4" w:rsidTr="00A61EF6">
        <w:trPr>
          <w:jc w:val="center"/>
        </w:trPr>
        <w:tc>
          <w:tcPr>
            <w:tcW w:w="4370" w:type="dxa"/>
          </w:tcPr>
          <w:p w:rsidR="00062CC4" w:rsidRPr="00062CC4" w:rsidRDefault="00062CC4" w:rsidP="00062CC4">
            <w:pPr>
              <w:tabs>
                <w:tab w:val="left" w:pos="993"/>
                <w:tab w:val="left" w:pos="1134"/>
              </w:tabs>
              <w:spacing w:after="0" w:line="240" w:lineRule="auto"/>
              <w:jc w:val="both"/>
              <w:rPr>
                <w:rFonts w:ascii="Times New Roman" w:hAnsi="Times New Roman" w:cs="Times New Roman"/>
                <w:sz w:val="24"/>
                <w:szCs w:val="24"/>
              </w:rPr>
            </w:pPr>
            <w:r w:rsidRPr="00062CC4">
              <w:rPr>
                <w:rFonts w:ascii="Times New Roman" w:hAnsi="Times New Roman" w:cs="Times New Roman"/>
                <w:sz w:val="24"/>
                <w:szCs w:val="24"/>
              </w:rPr>
              <w:t>от 1 до 45 календарных дней включительно</w:t>
            </w:r>
          </w:p>
        </w:tc>
        <w:tc>
          <w:tcPr>
            <w:tcW w:w="2409" w:type="dxa"/>
          </w:tcPr>
          <w:p w:rsidR="00062CC4" w:rsidRPr="00062CC4" w:rsidRDefault="00062CC4" w:rsidP="00062CC4">
            <w:pPr>
              <w:tabs>
                <w:tab w:val="left" w:pos="993"/>
                <w:tab w:val="left" w:pos="1134"/>
              </w:tabs>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0</w:t>
            </w:r>
          </w:p>
        </w:tc>
      </w:tr>
      <w:tr w:rsidR="00062CC4" w:rsidRPr="00062CC4" w:rsidTr="00A61EF6">
        <w:trPr>
          <w:jc w:val="center"/>
        </w:trPr>
        <w:tc>
          <w:tcPr>
            <w:tcW w:w="4370" w:type="dxa"/>
          </w:tcPr>
          <w:p w:rsidR="00062CC4" w:rsidRPr="00062CC4" w:rsidRDefault="00062CC4" w:rsidP="00062CC4">
            <w:pPr>
              <w:tabs>
                <w:tab w:val="left" w:pos="993"/>
                <w:tab w:val="left" w:pos="1134"/>
              </w:tabs>
              <w:spacing w:after="0" w:line="240" w:lineRule="auto"/>
              <w:jc w:val="both"/>
              <w:rPr>
                <w:rFonts w:ascii="Times New Roman" w:hAnsi="Times New Roman" w:cs="Times New Roman"/>
                <w:sz w:val="24"/>
                <w:szCs w:val="24"/>
              </w:rPr>
            </w:pPr>
            <w:r w:rsidRPr="00062CC4">
              <w:rPr>
                <w:rFonts w:ascii="Times New Roman" w:hAnsi="Times New Roman" w:cs="Times New Roman"/>
                <w:sz w:val="24"/>
                <w:szCs w:val="24"/>
              </w:rPr>
              <w:t>от 46 до 90 календарных дней включительно</w:t>
            </w:r>
          </w:p>
        </w:tc>
        <w:tc>
          <w:tcPr>
            <w:tcW w:w="2409" w:type="dxa"/>
          </w:tcPr>
          <w:p w:rsidR="00062CC4" w:rsidRPr="00062CC4" w:rsidRDefault="00062CC4" w:rsidP="00062CC4">
            <w:pPr>
              <w:tabs>
                <w:tab w:val="left" w:pos="993"/>
                <w:tab w:val="left" w:pos="1134"/>
              </w:tabs>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50</w:t>
            </w:r>
          </w:p>
        </w:tc>
      </w:tr>
      <w:tr w:rsidR="00062CC4" w:rsidRPr="00062CC4" w:rsidTr="00A61EF6">
        <w:trPr>
          <w:jc w:val="center"/>
        </w:trPr>
        <w:tc>
          <w:tcPr>
            <w:tcW w:w="4370" w:type="dxa"/>
          </w:tcPr>
          <w:p w:rsidR="00062CC4" w:rsidRPr="00062CC4" w:rsidRDefault="00062CC4" w:rsidP="00062CC4">
            <w:pPr>
              <w:tabs>
                <w:tab w:val="left" w:pos="993"/>
                <w:tab w:val="left" w:pos="1134"/>
              </w:tabs>
              <w:spacing w:after="0" w:line="240" w:lineRule="auto"/>
              <w:jc w:val="both"/>
              <w:rPr>
                <w:rFonts w:ascii="Times New Roman" w:hAnsi="Times New Roman" w:cs="Times New Roman"/>
                <w:sz w:val="24"/>
                <w:szCs w:val="24"/>
              </w:rPr>
            </w:pPr>
            <w:r w:rsidRPr="00062CC4">
              <w:rPr>
                <w:rFonts w:ascii="Times New Roman" w:hAnsi="Times New Roman" w:cs="Times New Roman"/>
                <w:sz w:val="24"/>
                <w:szCs w:val="24"/>
              </w:rPr>
              <w:t>от 91 календарного дня</w:t>
            </w:r>
          </w:p>
        </w:tc>
        <w:tc>
          <w:tcPr>
            <w:tcW w:w="2409" w:type="dxa"/>
          </w:tcPr>
          <w:p w:rsidR="00062CC4" w:rsidRPr="00062CC4" w:rsidRDefault="00062CC4" w:rsidP="00062CC4">
            <w:pPr>
              <w:tabs>
                <w:tab w:val="left" w:pos="993"/>
                <w:tab w:val="left" w:pos="1134"/>
              </w:tabs>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100</w:t>
            </w:r>
          </w:p>
        </w:tc>
      </w:tr>
    </w:tbl>
    <w:p w:rsidR="00062CC4" w:rsidRPr="00062CC4" w:rsidRDefault="00062CC4" w:rsidP="00062CC4">
      <w:pPr>
        <w:tabs>
          <w:tab w:val="left" w:pos="993"/>
          <w:tab w:val="left" w:pos="1134"/>
          <w:tab w:val="left" w:pos="1276"/>
        </w:tabs>
        <w:spacing w:after="0" w:line="240" w:lineRule="auto"/>
        <w:ind w:left="28" w:firstLine="716"/>
        <w:jc w:val="both"/>
        <w:rPr>
          <w:rFonts w:ascii="Times New Roman" w:hAnsi="Times New Roman" w:cs="Times New Roman"/>
          <w:sz w:val="24"/>
          <w:szCs w:val="24"/>
        </w:rPr>
      </w:pPr>
      <w:r w:rsidRPr="00062CC4">
        <w:rPr>
          <w:rFonts w:ascii="Times New Roman" w:hAnsi="Times New Roman" w:cs="Times New Roman"/>
          <w:sz w:val="24"/>
          <w:szCs w:val="24"/>
        </w:rPr>
        <w:t>В случае наличия сомнительного долга контрагента по двум и более договорам, резерв по ним определяется с применением максимального из определенных в соответствии с Таблицей 1 настоящего пункта размеров расчетного резерва по каждому из договоров в отдельности.</w:t>
      </w: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napToGrid w:val="0"/>
          <w:sz w:val="24"/>
          <w:szCs w:val="24"/>
        </w:rPr>
      </w:pPr>
      <w:r w:rsidRPr="00062CC4">
        <w:rPr>
          <w:rFonts w:ascii="Times New Roman" w:hAnsi="Times New Roman" w:cs="Times New Roman"/>
          <w:snapToGrid w:val="0"/>
          <w:sz w:val="24"/>
          <w:szCs w:val="24"/>
        </w:rPr>
        <w:t xml:space="preserve">По задолженности, в отношении которой отсутствует возможность определения </w:t>
      </w:r>
      <w:r w:rsidRPr="00062CC4">
        <w:rPr>
          <w:rFonts w:ascii="Times New Roman" w:hAnsi="Times New Roman" w:cs="Times New Roman"/>
          <w:sz w:val="24"/>
          <w:szCs w:val="24"/>
        </w:rPr>
        <w:t>длительности непогашения в срок обязательств (права требования к лицам, ответственным за причиненный ущерб, перешедшие к страховщику в соответствии с действующим законодательством от страхователя (выгодоприобретателя) и т.п.), размер расчетного резерва определяется на основании классификации указанной задолженности в одну из трех категорий в зависимости от вероятности погашения с учетом оформленного профессионального суждения:</w:t>
      </w:r>
    </w:p>
    <w:p w:rsidR="00062CC4" w:rsidRPr="00062CC4" w:rsidRDefault="00062CC4" w:rsidP="00062CC4">
      <w:pPr>
        <w:tabs>
          <w:tab w:val="left" w:pos="993"/>
        </w:tabs>
        <w:autoSpaceDE w:val="0"/>
        <w:autoSpaceDN w:val="0"/>
        <w:adjustRightInd w:val="0"/>
        <w:spacing w:after="0" w:line="240" w:lineRule="auto"/>
        <w:ind w:firstLine="716"/>
        <w:jc w:val="both"/>
        <w:rPr>
          <w:rFonts w:ascii="Times New Roman" w:hAnsi="Times New Roman" w:cs="Times New Roman"/>
          <w:sz w:val="24"/>
          <w:szCs w:val="24"/>
        </w:rPr>
      </w:pPr>
      <w:r w:rsidRPr="00062CC4">
        <w:rPr>
          <w:rFonts w:ascii="Times New Roman" w:hAnsi="Times New Roman" w:cs="Times New Roman"/>
          <w:sz w:val="24"/>
          <w:szCs w:val="24"/>
        </w:rPr>
        <w:t>а) I категория – высокая вероятность полного погашения своих обязательств должником (происходит частичное погашение задолженности с постоянной периодичностью);</w:t>
      </w:r>
    </w:p>
    <w:p w:rsidR="00062CC4" w:rsidRPr="00062CC4" w:rsidRDefault="00062CC4" w:rsidP="00062CC4">
      <w:pPr>
        <w:tabs>
          <w:tab w:val="left" w:pos="993"/>
        </w:tabs>
        <w:autoSpaceDE w:val="0"/>
        <w:autoSpaceDN w:val="0"/>
        <w:adjustRightInd w:val="0"/>
        <w:spacing w:after="0" w:line="240" w:lineRule="auto"/>
        <w:ind w:firstLine="716"/>
        <w:jc w:val="both"/>
        <w:rPr>
          <w:rFonts w:ascii="Times New Roman" w:hAnsi="Times New Roman" w:cs="Times New Roman"/>
          <w:sz w:val="24"/>
          <w:szCs w:val="24"/>
        </w:rPr>
      </w:pPr>
      <w:r w:rsidRPr="00062CC4">
        <w:rPr>
          <w:rFonts w:ascii="Times New Roman" w:hAnsi="Times New Roman" w:cs="Times New Roman"/>
          <w:sz w:val="24"/>
          <w:szCs w:val="24"/>
        </w:rPr>
        <w:t>б) II категория – сомнительная вероятность полного погашения своих обязательств должником (должник не погашает задолженность в срок свыше 90 календарных дней);</w:t>
      </w:r>
    </w:p>
    <w:p w:rsidR="00062CC4" w:rsidRPr="00062CC4" w:rsidRDefault="00062CC4" w:rsidP="00062CC4">
      <w:pPr>
        <w:tabs>
          <w:tab w:val="left" w:pos="993"/>
        </w:tabs>
        <w:autoSpaceDE w:val="0"/>
        <w:autoSpaceDN w:val="0"/>
        <w:adjustRightInd w:val="0"/>
        <w:spacing w:after="0" w:line="240" w:lineRule="auto"/>
        <w:ind w:firstLine="716"/>
        <w:jc w:val="both"/>
        <w:rPr>
          <w:rFonts w:ascii="Times New Roman" w:hAnsi="Times New Roman" w:cs="Times New Roman"/>
          <w:sz w:val="24"/>
          <w:szCs w:val="24"/>
        </w:rPr>
      </w:pPr>
      <w:r w:rsidRPr="00062CC4">
        <w:rPr>
          <w:rFonts w:ascii="Times New Roman" w:hAnsi="Times New Roman" w:cs="Times New Roman"/>
          <w:sz w:val="24"/>
          <w:szCs w:val="24"/>
        </w:rPr>
        <w:t xml:space="preserve">в) </w:t>
      </w:r>
      <w:r w:rsidRPr="00062CC4">
        <w:rPr>
          <w:rFonts w:ascii="Times New Roman" w:hAnsi="Times New Roman" w:cs="Times New Roman"/>
          <w:sz w:val="24"/>
          <w:szCs w:val="24"/>
          <w:lang w:val="en-US"/>
        </w:rPr>
        <w:t>III</w:t>
      </w:r>
      <w:r w:rsidRPr="00062CC4">
        <w:rPr>
          <w:rFonts w:ascii="Times New Roman" w:hAnsi="Times New Roman" w:cs="Times New Roman"/>
          <w:sz w:val="24"/>
          <w:szCs w:val="24"/>
        </w:rPr>
        <w:t xml:space="preserve"> категория – крайне низкая вероятность полного погашения своих обязательств должником (должник не погашает задолженность в срок свыше 180 календарных дней либо </w:t>
      </w:r>
      <w:r w:rsidRPr="00062CC4">
        <w:rPr>
          <w:rFonts w:ascii="Times New Roman" w:hAnsi="Times New Roman" w:cs="Times New Roman"/>
          <w:sz w:val="24"/>
          <w:szCs w:val="24"/>
        </w:rPr>
        <w:lastRenderedPageBreak/>
        <w:t>есть основания полагать, что задолженность не будет погашена (должник заведомо уклоняется от погашения долга).</w:t>
      </w:r>
    </w:p>
    <w:p w:rsidR="00062CC4" w:rsidRPr="00062CC4" w:rsidRDefault="00062CC4" w:rsidP="00062CC4">
      <w:pPr>
        <w:tabs>
          <w:tab w:val="left" w:pos="993"/>
        </w:tabs>
        <w:autoSpaceDE w:val="0"/>
        <w:autoSpaceDN w:val="0"/>
        <w:adjustRightInd w:val="0"/>
        <w:spacing w:after="0" w:line="240" w:lineRule="auto"/>
        <w:ind w:firstLine="716"/>
        <w:jc w:val="both"/>
        <w:rPr>
          <w:rFonts w:ascii="Times New Roman" w:hAnsi="Times New Roman" w:cs="Times New Roman"/>
          <w:sz w:val="24"/>
          <w:szCs w:val="24"/>
        </w:rPr>
      </w:pPr>
      <w:r w:rsidRPr="00062CC4">
        <w:rPr>
          <w:rFonts w:ascii="Times New Roman" w:hAnsi="Times New Roman" w:cs="Times New Roman"/>
          <w:sz w:val="24"/>
          <w:szCs w:val="24"/>
        </w:rPr>
        <w:t>Размер резерва определяется в соответствии с Таблицей 2 настоящего пункта.</w:t>
      </w:r>
    </w:p>
    <w:p w:rsidR="00062CC4" w:rsidRPr="00062CC4" w:rsidRDefault="00062CC4" w:rsidP="00062CC4">
      <w:pPr>
        <w:tabs>
          <w:tab w:val="left" w:pos="993"/>
          <w:tab w:val="left" w:pos="1134"/>
        </w:tabs>
        <w:spacing w:after="0" w:line="240" w:lineRule="auto"/>
        <w:ind w:firstLine="716"/>
        <w:jc w:val="right"/>
        <w:rPr>
          <w:rFonts w:ascii="Times New Roman" w:hAnsi="Times New Roman" w:cs="Times New Roman"/>
          <w:sz w:val="24"/>
          <w:szCs w:val="24"/>
        </w:rPr>
      </w:pPr>
      <w:r w:rsidRPr="00062CC4">
        <w:rPr>
          <w:rFonts w:ascii="Times New Roman" w:hAnsi="Times New Roman" w:cs="Times New Roman"/>
          <w:sz w:val="24"/>
          <w:szCs w:val="24"/>
        </w:rPr>
        <w:t>Таблица 2</w:t>
      </w:r>
    </w:p>
    <w:tbl>
      <w:tblPr>
        <w:tblW w:w="4469" w:type="pct"/>
        <w:jc w:val="center"/>
        <w:tblLayout w:type="fixed"/>
        <w:tblCellMar>
          <w:left w:w="0" w:type="dxa"/>
          <w:right w:w="0" w:type="dxa"/>
        </w:tblCellMar>
        <w:tblLook w:val="0000" w:firstRow="0" w:lastRow="0" w:firstColumn="0" w:lastColumn="0" w:noHBand="0" w:noVBand="0"/>
      </w:tblPr>
      <w:tblGrid>
        <w:gridCol w:w="3434"/>
        <w:gridCol w:w="5195"/>
      </w:tblGrid>
      <w:tr w:rsidR="00062CC4" w:rsidRPr="00062CC4" w:rsidTr="00A61EF6">
        <w:trPr>
          <w:jc w:val="center"/>
        </w:trPr>
        <w:tc>
          <w:tcPr>
            <w:tcW w:w="199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Категория</w:t>
            </w:r>
          </w:p>
        </w:tc>
        <w:tc>
          <w:tcPr>
            <w:tcW w:w="301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Размер расчетного резерва (в %)</w:t>
            </w:r>
          </w:p>
        </w:tc>
      </w:tr>
      <w:tr w:rsidR="00062CC4" w:rsidRPr="00062CC4" w:rsidTr="00A61EF6">
        <w:trPr>
          <w:jc w:val="center"/>
        </w:trPr>
        <w:tc>
          <w:tcPr>
            <w:tcW w:w="199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I</w:t>
            </w:r>
          </w:p>
        </w:tc>
        <w:tc>
          <w:tcPr>
            <w:tcW w:w="301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0</w:t>
            </w:r>
          </w:p>
        </w:tc>
      </w:tr>
      <w:tr w:rsidR="00062CC4" w:rsidRPr="00062CC4" w:rsidTr="00A61EF6">
        <w:trPr>
          <w:jc w:val="center"/>
        </w:trPr>
        <w:tc>
          <w:tcPr>
            <w:tcW w:w="199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lang w:val="en-US"/>
              </w:rPr>
              <w:t>II</w:t>
            </w:r>
          </w:p>
        </w:tc>
        <w:tc>
          <w:tcPr>
            <w:tcW w:w="301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50</w:t>
            </w:r>
          </w:p>
        </w:tc>
      </w:tr>
      <w:tr w:rsidR="00062CC4" w:rsidRPr="00062CC4" w:rsidTr="00A61EF6">
        <w:trPr>
          <w:jc w:val="center"/>
        </w:trPr>
        <w:tc>
          <w:tcPr>
            <w:tcW w:w="199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lang w:val="en-US"/>
              </w:rPr>
              <w:t>III</w:t>
            </w:r>
          </w:p>
        </w:tc>
        <w:tc>
          <w:tcPr>
            <w:tcW w:w="3010" w:type="pct"/>
            <w:tcBorders>
              <w:top w:val="single" w:sz="6" w:space="0" w:color="auto"/>
              <w:left w:val="single" w:sz="6" w:space="0" w:color="auto"/>
              <w:bottom w:val="single" w:sz="6" w:space="0" w:color="auto"/>
              <w:right w:val="single" w:sz="6" w:space="0" w:color="auto"/>
            </w:tcBorders>
          </w:tcPr>
          <w:p w:rsidR="00062CC4" w:rsidRPr="00062CC4" w:rsidRDefault="00062CC4" w:rsidP="00062CC4">
            <w:pPr>
              <w:tabs>
                <w:tab w:val="left" w:pos="993"/>
              </w:tabs>
              <w:autoSpaceDE w:val="0"/>
              <w:autoSpaceDN w:val="0"/>
              <w:adjustRightInd w:val="0"/>
              <w:spacing w:after="0" w:line="240" w:lineRule="auto"/>
              <w:jc w:val="center"/>
              <w:rPr>
                <w:rFonts w:ascii="Times New Roman" w:hAnsi="Times New Roman" w:cs="Times New Roman"/>
                <w:sz w:val="24"/>
                <w:szCs w:val="24"/>
              </w:rPr>
            </w:pPr>
            <w:r w:rsidRPr="00062CC4">
              <w:rPr>
                <w:rFonts w:ascii="Times New Roman" w:hAnsi="Times New Roman" w:cs="Times New Roman"/>
                <w:sz w:val="24"/>
                <w:szCs w:val="24"/>
              </w:rPr>
              <w:t>100</w:t>
            </w:r>
          </w:p>
        </w:tc>
      </w:tr>
    </w:tbl>
    <w:p w:rsidR="00062CC4" w:rsidRPr="00062CC4" w:rsidRDefault="00062CC4" w:rsidP="00062CC4">
      <w:pPr>
        <w:pStyle w:val="ad"/>
        <w:tabs>
          <w:tab w:val="left" w:pos="560"/>
          <w:tab w:val="left" w:pos="601"/>
          <w:tab w:val="left" w:pos="993"/>
        </w:tabs>
        <w:autoSpaceDE w:val="0"/>
        <w:autoSpaceDN w:val="0"/>
        <w:adjustRightInd w:val="0"/>
        <w:spacing w:after="0" w:line="240" w:lineRule="auto"/>
        <w:ind w:firstLine="716"/>
        <w:jc w:val="both"/>
        <w:rPr>
          <w:rFonts w:ascii="Times New Roman" w:hAnsi="Times New Roman" w:cs="Times New Roman"/>
          <w:color w:val="000000"/>
          <w:sz w:val="24"/>
          <w:szCs w:val="24"/>
        </w:rPr>
      </w:pP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sz w:val="24"/>
          <w:szCs w:val="24"/>
        </w:rPr>
      </w:pPr>
      <w:r w:rsidRPr="00062CC4">
        <w:rPr>
          <w:rFonts w:ascii="Times New Roman" w:hAnsi="Times New Roman" w:cs="Times New Roman"/>
          <w:color w:val="000000"/>
          <w:sz w:val="24"/>
          <w:szCs w:val="24"/>
        </w:rPr>
        <w:t xml:space="preserve">Резерв по сомнительным долгам по дебиторской задолженности, связанной с уплатой страховых премий (взносов) в отношении договоров страхования, </w:t>
      </w:r>
      <w:proofErr w:type="spellStart"/>
      <w:r w:rsidRPr="00062CC4">
        <w:rPr>
          <w:rFonts w:ascii="Times New Roman" w:hAnsi="Times New Roman" w:cs="Times New Roman"/>
          <w:sz w:val="24"/>
          <w:szCs w:val="24"/>
        </w:rPr>
        <w:t>сострахования</w:t>
      </w:r>
      <w:proofErr w:type="spellEnd"/>
      <w:r w:rsidRPr="00062CC4">
        <w:rPr>
          <w:rFonts w:ascii="Times New Roman" w:hAnsi="Times New Roman" w:cs="Times New Roman"/>
          <w:sz w:val="24"/>
          <w:szCs w:val="24"/>
        </w:rPr>
        <w:t>, перестрахования, по которым сформированы страховые резервы, не определяется.</w:t>
      </w: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color w:val="000000"/>
          <w:sz w:val="24"/>
          <w:szCs w:val="24"/>
        </w:rPr>
      </w:pPr>
      <w:r w:rsidRPr="00062CC4">
        <w:rPr>
          <w:rFonts w:ascii="Times New Roman" w:hAnsi="Times New Roman" w:cs="Times New Roman"/>
          <w:sz w:val="24"/>
          <w:szCs w:val="24"/>
        </w:rPr>
        <w:t>Профессиональное суждение, указанное в пункте 4, оформляется не реже одного</w:t>
      </w:r>
      <w:r w:rsidRPr="00062CC4">
        <w:rPr>
          <w:rFonts w:ascii="Times New Roman" w:hAnsi="Times New Roman" w:cs="Times New Roman"/>
          <w:color w:val="000000"/>
          <w:sz w:val="24"/>
          <w:szCs w:val="24"/>
        </w:rPr>
        <w:t xml:space="preserve"> раза в квартал по состоянию на первый день квартала, следующего за отчетным.</w:t>
      </w:r>
    </w:p>
    <w:p w:rsidR="00062CC4" w:rsidRPr="00062CC4" w:rsidRDefault="00062CC4" w:rsidP="00062CC4">
      <w:pPr>
        <w:pStyle w:val="ad"/>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color w:val="000000"/>
          <w:sz w:val="24"/>
          <w:szCs w:val="24"/>
        </w:rPr>
      </w:pPr>
      <w:r w:rsidRPr="00062CC4">
        <w:rPr>
          <w:rFonts w:ascii="Times New Roman" w:hAnsi="Times New Roman" w:cs="Times New Roman"/>
          <w:color w:val="000000"/>
          <w:sz w:val="24"/>
          <w:szCs w:val="24"/>
        </w:rPr>
        <w:t>Страховые организации вправе оформлять профессиональные суждения по группам сомнительных долгов, формируемых с учетом различных критериев (по типам задолженности, категориям</w:t>
      </w:r>
      <w:r w:rsidRPr="00062CC4">
        <w:rPr>
          <w:rFonts w:ascii="Times New Roman" w:hAnsi="Times New Roman" w:cs="Times New Roman"/>
          <w:sz w:val="24"/>
          <w:szCs w:val="24"/>
        </w:rPr>
        <w:t xml:space="preserve"> и т.д.).</w:t>
      </w:r>
    </w:p>
    <w:p w:rsidR="00062CC4" w:rsidRPr="00062CC4" w:rsidRDefault="00062CC4" w:rsidP="00062CC4">
      <w:pPr>
        <w:pStyle w:val="ad"/>
        <w:numPr>
          <w:ilvl w:val="0"/>
          <w:numId w:val="14"/>
        </w:numPr>
        <w:tabs>
          <w:tab w:val="left" w:pos="560"/>
          <w:tab w:val="left" w:pos="601"/>
          <w:tab w:val="left" w:pos="993"/>
        </w:tabs>
        <w:autoSpaceDE w:val="0"/>
        <w:autoSpaceDN w:val="0"/>
        <w:adjustRightInd w:val="0"/>
        <w:spacing w:after="0" w:line="240" w:lineRule="auto"/>
        <w:ind w:left="-7" w:firstLine="716"/>
        <w:jc w:val="both"/>
        <w:rPr>
          <w:rFonts w:ascii="Times New Roman" w:hAnsi="Times New Roman" w:cs="Times New Roman"/>
          <w:color w:val="000000"/>
          <w:sz w:val="24"/>
          <w:szCs w:val="24"/>
        </w:rPr>
      </w:pPr>
      <w:r w:rsidRPr="00062CC4">
        <w:rPr>
          <w:rFonts w:ascii="Times New Roman" w:hAnsi="Times New Roman" w:cs="Times New Roman"/>
          <w:color w:val="000000"/>
          <w:sz w:val="24"/>
          <w:szCs w:val="24"/>
        </w:rPr>
        <w:t>Страховая организация отражает в своих внутренних документах политику (правила, процедуры, методики) расчета чистых активов, содержащую в том числе более детальные процедуры классификации задолженности в одну из трех категорий, определения размера резерва по сомнительным долгам, порядка и периодичности оформления профессиональных суждений, чем предусмотрено настоящей Методикой.</w:t>
      </w:r>
    </w:p>
    <w:p w:rsidR="00062CC4" w:rsidRPr="00062CC4" w:rsidRDefault="00062CC4" w:rsidP="00062CC4">
      <w:pPr>
        <w:tabs>
          <w:tab w:val="left" w:pos="741"/>
          <w:tab w:val="left" w:pos="993"/>
        </w:tabs>
        <w:spacing w:after="0" w:line="240" w:lineRule="auto"/>
        <w:ind w:firstLine="716"/>
        <w:jc w:val="both"/>
        <w:rPr>
          <w:rFonts w:ascii="Times New Roman" w:hAnsi="Times New Roman" w:cs="Times New Roman"/>
          <w:sz w:val="24"/>
          <w:szCs w:val="24"/>
        </w:rPr>
      </w:pPr>
      <w:r w:rsidRPr="00062CC4">
        <w:rPr>
          <w:rFonts w:ascii="Times New Roman" w:hAnsi="Times New Roman" w:cs="Times New Roman"/>
          <w:color w:val="000000"/>
          <w:sz w:val="24"/>
          <w:szCs w:val="24"/>
        </w:rPr>
        <w:t>Страховая организация предоставляет в Приднестровский республиканский банк копии утвержденных ею внутренних документов, а также изменения и дополнения к ним, в течение 5 (пяти) рабочих дней после утверждения.</w:t>
      </w:r>
    </w:p>
    <w:p w:rsidR="00062CC4" w:rsidRPr="00062CC4" w:rsidRDefault="00062CC4" w:rsidP="00062CC4">
      <w:pPr>
        <w:spacing w:after="0" w:line="240" w:lineRule="auto"/>
        <w:rPr>
          <w:rFonts w:ascii="Times New Roman" w:hAnsi="Times New Roman" w:cs="Times New Roman"/>
          <w:sz w:val="24"/>
          <w:szCs w:val="24"/>
        </w:rPr>
      </w:pPr>
    </w:p>
    <w:p w:rsidR="00062CC4" w:rsidRPr="00062CC4" w:rsidRDefault="00062CC4" w:rsidP="00062CC4">
      <w:pPr>
        <w:spacing w:after="0" w:line="240" w:lineRule="auto"/>
        <w:rPr>
          <w:rFonts w:ascii="Times New Roman" w:hAnsi="Times New Roman" w:cs="Times New Roman"/>
          <w:sz w:val="24"/>
          <w:szCs w:val="24"/>
        </w:rPr>
      </w:pPr>
    </w:p>
    <w:p w:rsidR="00062CC4" w:rsidRPr="00062CC4" w:rsidRDefault="00062CC4" w:rsidP="00062CC4">
      <w:pPr>
        <w:spacing w:after="0" w:line="240" w:lineRule="auto"/>
        <w:rPr>
          <w:rFonts w:ascii="Times New Roman" w:hAnsi="Times New Roman" w:cs="Times New Roman"/>
          <w:sz w:val="24"/>
          <w:szCs w:val="24"/>
        </w:rPr>
      </w:pPr>
    </w:p>
    <w:p w:rsidR="00062CC4" w:rsidRPr="00062CC4" w:rsidRDefault="00062CC4" w:rsidP="00062CC4">
      <w:pPr>
        <w:spacing w:after="0" w:line="240" w:lineRule="auto"/>
        <w:rPr>
          <w:rFonts w:ascii="Times New Roman" w:hAnsi="Times New Roman" w:cs="Times New Roman"/>
          <w:sz w:val="24"/>
          <w:szCs w:val="24"/>
        </w:rPr>
      </w:pPr>
    </w:p>
    <w:p w:rsidR="00062CC4" w:rsidRPr="00062CC4" w:rsidRDefault="00062CC4" w:rsidP="00062CC4">
      <w:pPr>
        <w:spacing w:after="0" w:line="240" w:lineRule="auto"/>
        <w:rPr>
          <w:rFonts w:ascii="Times New Roman" w:hAnsi="Times New Roman" w:cs="Times New Roman"/>
          <w:sz w:val="24"/>
          <w:szCs w:val="24"/>
        </w:rPr>
      </w:pPr>
    </w:p>
    <w:p w:rsidR="00062CC4" w:rsidRPr="00062CC4" w:rsidRDefault="00062CC4" w:rsidP="00062CC4">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062CC4" w:rsidRDefault="00062CC4" w:rsidP="005C3FB7">
      <w:pPr>
        <w:spacing w:after="0" w:line="240" w:lineRule="auto"/>
        <w:rPr>
          <w:rFonts w:ascii="Times New Roman" w:hAnsi="Times New Roman" w:cs="Times New Roman"/>
          <w:sz w:val="24"/>
          <w:szCs w:val="24"/>
        </w:rPr>
      </w:pPr>
    </w:p>
    <w:p w:rsidR="0053779F" w:rsidRPr="000B2FA8" w:rsidRDefault="0053779F" w:rsidP="00CA5AA8">
      <w:pPr>
        <w:autoSpaceDE w:val="0"/>
        <w:autoSpaceDN w:val="0"/>
        <w:adjustRightInd w:val="0"/>
        <w:spacing w:after="0" w:line="240" w:lineRule="auto"/>
        <w:ind w:left="4678"/>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lastRenderedPageBreak/>
        <w:t xml:space="preserve">Приложение N </w:t>
      </w:r>
      <w:r w:rsidR="00D42DE1" w:rsidRPr="000B2FA8">
        <w:rPr>
          <w:rFonts w:ascii="Times New Roman" w:eastAsia="Times New Roman" w:hAnsi="Times New Roman" w:cs="Times New Roman"/>
          <w:sz w:val="24"/>
          <w:szCs w:val="24"/>
        </w:rPr>
        <w:t>2</w:t>
      </w:r>
      <w:r w:rsidRPr="000B2FA8">
        <w:rPr>
          <w:rFonts w:ascii="Times New Roman" w:eastAsia="Times New Roman" w:hAnsi="Times New Roman" w:cs="Times New Roman"/>
          <w:sz w:val="24"/>
          <w:szCs w:val="24"/>
        </w:rPr>
        <w:t xml:space="preserve"> </w:t>
      </w:r>
    </w:p>
    <w:p w:rsidR="0053779F" w:rsidRPr="000B2FA8" w:rsidRDefault="0053779F" w:rsidP="00CA5AA8">
      <w:pPr>
        <w:autoSpaceDE w:val="0"/>
        <w:autoSpaceDN w:val="0"/>
        <w:adjustRightInd w:val="0"/>
        <w:spacing w:after="0" w:line="240" w:lineRule="auto"/>
        <w:ind w:left="4678"/>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к </w:t>
      </w:r>
      <w:r w:rsidRPr="000B2FA8">
        <w:rPr>
          <w:rFonts w:ascii="Times New Roman" w:hAnsi="Times New Roman" w:cs="Times New Roman"/>
          <w:sz w:val="24"/>
          <w:szCs w:val="24"/>
        </w:rPr>
        <w:t xml:space="preserve">Инструкции </w:t>
      </w:r>
      <w:r w:rsidRPr="000B2FA8">
        <w:rPr>
          <w:rFonts w:ascii="Times New Roman" w:eastAsia="Times New Roman" w:hAnsi="Times New Roman" w:cs="Times New Roman"/>
          <w:sz w:val="24"/>
          <w:szCs w:val="24"/>
        </w:rPr>
        <w:t xml:space="preserve">Приднестровского республиканского банка </w:t>
      </w:r>
    </w:p>
    <w:p w:rsidR="0053779F" w:rsidRPr="000B2FA8" w:rsidRDefault="0053779F" w:rsidP="00CA5AA8">
      <w:pPr>
        <w:autoSpaceDE w:val="0"/>
        <w:autoSpaceDN w:val="0"/>
        <w:adjustRightInd w:val="0"/>
        <w:spacing w:after="0" w:line="240" w:lineRule="auto"/>
        <w:ind w:left="4678"/>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от </w:t>
      </w:r>
      <w:r w:rsidR="00475C0A">
        <w:rPr>
          <w:rFonts w:ascii="Times New Roman" w:hAnsi="Times New Roman" w:cs="Times New Roman"/>
          <w:sz w:val="24"/>
          <w:szCs w:val="24"/>
        </w:rPr>
        <w:t>23 октября</w:t>
      </w:r>
      <w:r w:rsidRPr="000B2FA8">
        <w:rPr>
          <w:rFonts w:ascii="Times New Roman" w:eastAsia="Times New Roman" w:hAnsi="Times New Roman" w:cs="Times New Roman"/>
          <w:sz w:val="24"/>
          <w:szCs w:val="24"/>
        </w:rPr>
        <w:t xml:space="preserve"> 20</w:t>
      </w:r>
      <w:r w:rsidRPr="000B2FA8">
        <w:rPr>
          <w:rFonts w:ascii="Times New Roman" w:hAnsi="Times New Roman" w:cs="Times New Roman"/>
          <w:sz w:val="24"/>
          <w:szCs w:val="24"/>
        </w:rPr>
        <w:t>18</w:t>
      </w:r>
      <w:r w:rsidRPr="000B2FA8">
        <w:rPr>
          <w:rFonts w:ascii="Times New Roman" w:eastAsia="Times New Roman" w:hAnsi="Times New Roman" w:cs="Times New Roman"/>
          <w:sz w:val="24"/>
          <w:szCs w:val="24"/>
        </w:rPr>
        <w:t xml:space="preserve"> года N </w:t>
      </w:r>
      <w:r w:rsidR="00475C0A">
        <w:rPr>
          <w:rFonts w:ascii="Times New Roman" w:hAnsi="Times New Roman" w:cs="Times New Roman"/>
          <w:sz w:val="24"/>
          <w:szCs w:val="24"/>
        </w:rPr>
        <w:t>39</w:t>
      </w:r>
      <w:r w:rsidRPr="000B2FA8">
        <w:rPr>
          <w:rFonts w:ascii="Times New Roman" w:eastAsia="Times New Roman" w:hAnsi="Times New Roman" w:cs="Times New Roman"/>
          <w:sz w:val="24"/>
          <w:szCs w:val="24"/>
        </w:rPr>
        <w:t>-</w:t>
      </w:r>
      <w:r w:rsidRPr="000B2FA8">
        <w:rPr>
          <w:rFonts w:ascii="Times New Roman" w:hAnsi="Times New Roman" w:cs="Times New Roman"/>
          <w:sz w:val="24"/>
          <w:szCs w:val="24"/>
        </w:rPr>
        <w:t>И</w:t>
      </w:r>
      <w:r w:rsidRPr="000B2FA8">
        <w:rPr>
          <w:rFonts w:ascii="Times New Roman" w:eastAsia="Times New Roman" w:hAnsi="Times New Roman" w:cs="Times New Roman"/>
          <w:sz w:val="24"/>
          <w:szCs w:val="24"/>
        </w:rPr>
        <w:t xml:space="preserve"> </w:t>
      </w:r>
    </w:p>
    <w:p w:rsidR="00CA5AA8" w:rsidRDefault="00CA5AA8" w:rsidP="00CA5AA8">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(Исключено Указанием от 22.08.2019 </w:t>
      </w:r>
      <w:r>
        <w:rPr>
          <w:rFonts w:ascii="Times New Roman" w:hAnsi="Times New Roman" w:cs="Times New Roman"/>
          <w:sz w:val="24"/>
          <w:szCs w:val="24"/>
          <w:lang w:val="en-US"/>
        </w:rPr>
        <w:t>N</w:t>
      </w:r>
      <w:r w:rsidRPr="002E63A6">
        <w:rPr>
          <w:rFonts w:ascii="Times New Roman" w:hAnsi="Times New Roman" w:cs="Times New Roman"/>
          <w:sz w:val="24"/>
          <w:szCs w:val="24"/>
        </w:rPr>
        <w:t xml:space="preserve"> 1179-</w:t>
      </w:r>
      <w:r>
        <w:rPr>
          <w:rFonts w:ascii="Times New Roman" w:hAnsi="Times New Roman" w:cs="Times New Roman"/>
          <w:sz w:val="24"/>
          <w:szCs w:val="24"/>
        </w:rPr>
        <w:t>У)</w:t>
      </w:r>
    </w:p>
    <w:sectPr w:rsidR="00CA5AA8" w:rsidSect="006302F2">
      <w:headerReference w:type="default" r:id="rId12"/>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BB" w:rsidRDefault="000A40BB" w:rsidP="00283507">
      <w:pPr>
        <w:spacing w:after="0" w:line="240" w:lineRule="auto"/>
      </w:pPr>
      <w:r>
        <w:separator/>
      </w:r>
    </w:p>
  </w:endnote>
  <w:endnote w:type="continuationSeparator" w:id="0">
    <w:p w:rsidR="000A40BB" w:rsidRDefault="000A40BB" w:rsidP="0028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E">
    <w:altName w:val="Times New Roman"/>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BB" w:rsidRDefault="000A40BB" w:rsidP="00283507">
      <w:pPr>
        <w:spacing w:after="0" w:line="240" w:lineRule="auto"/>
      </w:pPr>
      <w:r>
        <w:separator/>
      </w:r>
    </w:p>
  </w:footnote>
  <w:footnote w:type="continuationSeparator" w:id="0">
    <w:p w:rsidR="000A40BB" w:rsidRDefault="000A40BB" w:rsidP="0028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817"/>
      <w:docPartObj>
        <w:docPartGallery w:val="Page Numbers (Top of Page)"/>
        <w:docPartUnique/>
      </w:docPartObj>
    </w:sdtPr>
    <w:sdtEndPr>
      <w:rPr>
        <w:rFonts w:ascii="Times New Roman" w:hAnsi="Times New Roman" w:cs="Times New Roman"/>
        <w:b w:val="0"/>
      </w:rPr>
    </w:sdtEndPr>
    <w:sdtContent>
      <w:p w:rsidR="000A40BB" w:rsidRPr="00283507" w:rsidRDefault="001D0DB9">
        <w:pPr>
          <w:pStyle w:val="a3"/>
          <w:jc w:val="center"/>
          <w:rPr>
            <w:rFonts w:ascii="Times New Roman" w:hAnsi="Times New Roman" w:cs="Times New Roman"/>
            <w:b w:val="0"/>
          </w:rPr>
        </w:pPr>
        <w:r w:rsidRPr="00283507">
          <w:rPr>
            <w:rFonts w:ascii="Times New Roman" w:hAnsi="Times New Roman" w:cs="Times New Roman"/>
            <w:b w:val="0"/>
          </w:rPr>
          <w:fldChar w:fldCharType="begin"/>
        </w:r>
        <w:r w:rsidR="000A40BB" w:rsidRPr="00283507">
          <w:rPr>
            <w:rFonts w:ascii="Times New Roman" w:hAnsi="Times New Roman" w:cs="Times New Roman"/>
            <w:b w:val="0"/>
          </w:rPr>
          <w:instrText xml:space="preserve"> PAGE   \* MERGEFORMAT </w:instrText>
        </w:r>
        <w:r w:rsidRPr="00283507">
          <w:rPr>
            <w:rFonts w:ascii="Times New Roman" w:hAnsi="Times New Roman" w:cs="Times New Roman"/>
            <w:b w:val="0"/>
          </w:rPr>
          <w:fldChar w:fldCharType="separate"/>
        </w:r>
        <w:r w:rsidR="00B148EC">
          <w:rPr>
            <w:rFonts w:ascii="Times New Roman" w:hAnsi="Times New Roman" w:cs="Times New Roman"/>
            <w:b w:val="0"/>
            <w:noProof/>
          </w:rPr>
          <w:t>7</w:t>
        </w:r>
        <w:r w:rsidRPr="00283507">
          <w:rPr>
            <w:rFonts w:ascii="Times New Roman" w:hAnsi="Times New Roman" w:cs="Times New Roman"/>
            <w:b w:val="0"/>
          </w:rPr>
          <w:fldChar w:fldCharType="end"/>
        </w:r>
      </w:p>
    </w:sdtContent>
  </w:sdt>
  <w:p w:rsidR="000A40BB" w:rsidRDefault="000A40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55C"/>
    <w:multiLevelType w:val="hybridMultilevel"/>
    <w:tmpl w:val="5F34B072"/>
    <w:lvl w:ilvl="0" w:tplc="97808734">
      <w:start w:val="1"/>
      <w:numFmt w:val="decimal"/>
      <w:lvlText w:val="%1."/>
      <w:lvlJc w:val="left"/>
      <w:pPr>
        <w:ind w:left="2438" w:hanging="102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1045F0"/>
    <w:multiLevelType w:val="multilevel"/>
    <w:tmpl w:val="FCF02C8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1C62"/>
    <w:multiLevelType w:val="hybridMultilevel"/>
    <w:tmpl w:val="1D4EC354"/>
    <w:lvl w:ilvl="0" w:tplc="99CCA24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C70945"/>
    <w:multiLevelType w:val="hybridMultilevel"/>
    <w:tmpl w:val="8C8A1024"/>
    <w:lvl w:ilvl="0" w:tplc="8102A43A">
      <w:start w:val="1"/>
      <w:numFmt w:val="decimal"/>
      <w:lvlText w:val="%1."/>
      <w:lvlJc w:val="left"/>
      <w:pPr>
        <w:ind w:left="1588" w:hanging="1020"/>
      </w:pPr>
      <w:rPr>
        <w:rFonts w:eastAsiaTheme="minorEastAsia"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640E9A"/>
    <w:multiLevelType w:val="hybridMultilevel"/>
    <w:tmpl w:val="6FEA07CC"/>
    <w:lvl w:ilvl="0" w:tplc="88FC9F52">
      <w:start w:val="1"/>
      <w:numFmt w:val="decimal"/>
      <w:lvlText w:val="%1."/>
      <w:lvlJc w:val="left"/>
      <w:pPr>
        <w:ind w:left="1730" w:hanging="1020"/>
      </w:pPr>
      <w:rPr>
        <w:rFonts w:eastAsiaTheme="minorEastAsia"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F0F69"/>
    <w:multiLevelType w:val="multilevel"/>
    <w:tmpl w:val="97CAB236"/>
    <w:lvl w:ilvl="0">
      <w:start w:val="1"/>
      <w:numFmt w:val="russianLow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E0FD9"/>
    <w:multiLevelType w:val="hybridMultilevel"/>
    <w:tmpl w:val="5750ECC4"/>
    <w:lvl w:ilvl="0" w:tplc="B4F21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C01C1D"/>
    <w:multiLevelType w:val="hybridMultilevel"/>
    <w:tmpl w:val="C92664D8"/>
    <w:lvl w:ilvl="0" w:tplc="36CA2C86">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45354E4C"/>
    <w:multiLevelType w:val="hybridMultilevel"/>
    <w:tmpl w:val="58146780"/>
    <w:lvl w:ilvl="0" w:tplc="99CCA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911F79"/>
    <w:multiLevelType w:val="hybridMultilevel"/>
    <w:tmpl w:val="26AE59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5C06153A"/>
    <w:multiLevelType w:val="hybridMultilevel"/>
    <w:tmpl w:val="0BF4D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894FFD"/>
    <w:multiLevelType w:val="hybridMultilevel"/>
    <w:tmpl w:val="C94E5302"/>
    <w:lvl w:ilvl="0" w:tplc="97808734">
      <w:start w:val="1"/>
      <w:numFmt w:val="decimal"/>
      <w:lvlText w:val="%1."/>
      <w:lvlJc w:val="left"/>
      <w:pPr>
        <w:ind w:left="2438" w:hanging="102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D93A81"/>
    <w:multiLevelType w:val="hybridMultilevel"/>
    <w:tmpl w:val="7F9AD762"/>
    <w:lvl w:ilvl="0" w:tplc="59AA2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A056F6B"/>
    <w:multiLevelType w:val="hybridMultilevel"/>
    <w:tmpl w:val="825A2406"/>
    <w:lvl w:ilvl="0" w:tplc="3B58FF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3"/>
  </w:num>
  <w:num w:numId="4">
    <w:abstractNumId w:val="0"/>
  </w:num>
  <w:num w:numId="5">
    <w:abstractNumId w:val="11"/>
  </w:num>
  <w:num w:numId="6">
    <w:abstractNumId w:val="4"/>
  </w:num>
  <w:num w:numId="7">
    <w:abstractNumId w:val="6"/>
  </w:num>
  <w:num w:numId="8">
    <w:abstractNumId w:val="1"/>
  </w:num>
  <w:num w:numId="9">
    <w:abstractNumId w:val="5"/>
  </w:num>
  <w:num w:numId="10">
    <w:abstractNumId w:val="8"/>
  </w:num>
  <w:num w:numId="11">
    <w:abstractNumId w:val="9"/>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FB7"/>
    <w:rsid w:val="00015384"/>
    <w:rsid w:val="00017536"/>
    <w:rsid w:val="00020441"/>
    <w:rsid w:val="00024805"/>
    <w:rsid w:val="00047538"/>
    <w:rsid w:val="0005524B"/>
    <w:rsid w:val="00061C18"/>
    <w:rsid w:val="00062894"/>
    <w:rsid w:val="00062CC4"/>
    <w:rsid w:val="00066BA6"/>
    <w:rsid w:val="0007139B"/>
    <w:rsid w:val="000753FA"/>
    <w:rsid w:val="00077569"/>
    <w:rsid w:val="000776FD"/>
    <w:rsid w:val="00095E05"/>
    <w:rsid w:val="000A40BB"/>
    <w:rsid w:val="000A6741"/>
    <w:rsid w:val="000B21B2"/>
    <w:rsid w:val="000B2EFE"/>
    <w:rsid w:val="000B2FA8"/>
    <w:rsid w:val="000C67F6"/>
    <w:rsid w:val="000E4DC8"/>
    <w:rsid w:val="000E5EBF"/>
    <w:rsid w:val="000E74F1"/>
    <w:rsid w:val="000F3095"/>
    <w:rsid w:val="000F60D6"/>
    <w:rsid w:val="00100F45"/>
    <w:rsid w:val="00104F07"/>
    <w:rsid w:val="00105A7E"/>
    <w:rsid w:val="0010628F"/>
    <w:rsid w:val="001101B1"/>
    <w:rsid w:val="001113A3"/>
    <w:rsid w:val="00111F84"/>
    <w:rsid w:val="00123C23"/>
    <w:rsid w:val="00125FA2"/>
    <w:rsid w:val="00126819"/>
    <w:rsid w:val="00131CA5"/>
    <w:rsid w:val="00131E41"/>
    <w:rsid w:val="00135893"/>
    <w:rsid w:val="00145C53"/>
    <w:rsid w:val="00155A94"/>
    <w:rsid w:val="0016206B"/>
    <w:rsid w:val="00164D99"/>
    <w:rsid w:val="00166B6E"/>
    <w:rsid w:val="001708B1"/>
    <w:rsid w:val="00173E56"/>
    <w:rsid w:val="00181B62"/>
    <w:rsid w:val="00182548"/>
    <w:rsid w:val="00184A69"/>
    <w:rsid w:val="0019212F"/>
    <w:rsid w:val="00192669"/>
    <w:rsid w:val="00194438"/>
    <w:rsid w:val="001965DB"/>
    <w:rsid w:val="001A194C"/>
    <w:rsid w:val="001B2EBF"/>
    <w:rsid w:val="001C27A8"/>
    <w:rsid w:val="001D0DB9"/>
    <w:rsid w:val="001D3433"/>
    <w:rsid w:val="001D6ADB"/>
    <w:rsid w:val="001E791B"/>
    <w:rsid w:val="001F32C6"/>
    <w:rsid w:val="001F3A6A"/>
    <w:rsid w:val="001F7D0A"/>
    <w:rsid w:val="00200013"/>
    <w:rsid w:val="00201633"/>
    <w:rsid w:val="00201B27"/>
    <w:rsid w:val="00215F5E"/>
    <w:rsid w:val="00223FA3"/>
    <w:rsid w:val="002243AE"/>
    <w:rsid w:val="0026331D"/>
    <w:rsid w:val="00263650"/>
    <w:rsid w:val="00271915"/>
    <w:rsid w:val="00273E3E"/>
    <w:rsid w:val="00277AD8"/>
    <w:rsid w:val="00283507"/>
    <w:rsid w:val="002A0BAD"/>
    <w:rsid w:val="002A228E"/>
    <w:rsid w:val="002A5F21"/>
    <w:rsid w:val="002A6541"/>
    <w:rsid w:val="002B37CC"/>
    <w:rsid w:val="002C0474"/>
    <w:rsid w:val="002C6E88"/>
    <w:rsid w:val="002C756D"/>
    <w:rsid w:val="002C7C3F"/>
    <w:rsid w:val="002E2C24"/>
    <w:rsid w:val="002E4B03"/>
    <w:rsid w:val="002E4FCF"/>
    <w:rsid w:val="002E63A6"/>
    <w:rsid w:val="00303C61"/>
    <w:rsid w:val="00304840"/>
    <w:rsid w:val="00315893"/>
    <w:rsid w:val="0032237B"/>
    <w:rsid w:val="00325B06"/>
    <w:rsid w:val="003340F6"/>
    <w:rsid w:val="00361CA9"/>
    <w:rsid w:val="00367650"/>
    <w:rsid w:val="0038118A"/>
    <w:rsid w:val="0038252D"/>
    <w:rsid w:val="003A12C5"/>
    <w:rsid w:val="003A4A30"/>
    <w:rsid w:val="003A53C9"/>
    <w:rsid w:val="003C25B4"/>
    <w:rsid w:val="003C4E1B"/>
    <w:rsid w:val="003C7AC5"/>
    <w:rsid w:val="003D10BD"/>
    <w:rsid w:val="003D32DE"/>
    <w:rsid w:val="003E08A2"/>
    <w:rsid w:val="003E3D94"/>
    <w:rsid w:val="003E6871"/>
    <w:rsid w:val="003F02ED"/>
    <w:rsid w:val="003F25DB"/>
    <w:rsid w:val="00401B35"/>
    <w:rsid w:val="00402E31"/>
    <w:rsid w:val="00411670"/>
    <w:rsid w:val="00416879"/>
    <w:rsid w:val="004308D0"/>
    <w:rsid w:val="00443350"/>
    <w:rsid w:val="00452405"/>
    <w:rsid w:val="00462AB7"/>
    <w:rsid w:val="00464229"/>
    <w:rsid w:val="0046742A"/>
    <w:rsid w:val="004708B2"/>
    <w:rsid w:val="00475C0A"/>
    <w:rsid w:val="00481CCD"/>
    <w:rsid w:val="00484E39"/>
    <w:rsid w:val="004C1B6E"/>
    <w:rsid w:val="004C3D18"/>
    <w:rsid w:val="004D29CF"/>
    <w:rsid w:val="004D2D18"/>
    <w:rsid w:val="004D3DD6"/>
    <w:rsid w:val="004E45B3"/>
    <w:rsid w:val="004E46D0"/>
    <w:rsid w:val="004F5BD8"/>
    <w:rsid w:val="004F5DA2"/>
    <w:rsid w:val="0050490D"/>
    <w:rsid w:val="00506115"/>
    <w:rsid w:val="005065C4"/>
    <w:rsid w:val="0051479B"/>
    <w:rsid w:val="005150EF"/>
    <w:rsid w:val="005164E0"/>
    <w:rsid w:val="00522006"/>
    <w:rsid w:val="0052205D"/>
    <w:rsid w:val="0052258D"/>
    <w:rsid w:val="00525181"/>
    <w:rsid w:val="0053779F"/>
    <w:rsid w:val="00546202"/>
    <w:rsid w:val="00560AB0"/>
    <w:rsid w:val="00562022"/>
    <w:rsid w:val="00562E79"/>
    <w:rsid w:val="005631D5"/>
    <w:rsid w:val="00570BA3"/>
    <w:rsid w:val="0058740E"/>
    <w:rsid w:val="005A4139"/>
    <w:rsid w:val="005A5E72"/>
    <w:rsid w:val="005C106F"/>
    <w:rsid w:val="005C3FB7"/>
    <w:rsid w:val="005C409B"/>
    <w:rsid w:val="005D4765"/>
    <w:rsid w:val="005E3810"/>
    <w:rsid w:val="005F0FE2"/>
    <w:rsid w:val="005F70B7"/>
    <w:rsid w:val="00600703"/>
    <w:rsid w:val="00603BD9"/>
    <w:rsid w:val="00607310"/>
    <w:rsid w:val="00607B63"/>
    <w:rsid w:val="0061065A"/>
    <w:rsid w:val="00611959"/>
    <w:rsid w:val="00622BD8"/>
    <w:rsid w:val="00622D93"/>
    <w:rsid w:val="006302F2"/>
    <w:rsid w:val="00632243"/>
    <w:rsid w:val="00642C5F"/>
    <w:rsid w:val="00647135"/>
    <w:rsid w:val="006502AE"/>
    <w:rsid w:val="006649F2"/>
    <w:rsid w:val="00672AF2"/>
    <w:rsid w:val="006730EE"/>
    <w:rsid w:val="00676323"/>
    <w:rsid w:val="00693DF6"/>
    <w:rsid w:val="006952DB"/>
    <w:rsid w:val="006A032A"/>
    <w:rsid w:val="006A27B4"/>
    <w:rsid w:val="006A5D7D"/>
    <w:rsid w:val="006B1E08"/>
    <w:rsid w:val="006C3B8C"/>
    <w:rsid w:val="006C5834"/>
    <w:rsid w:val="006D3D2D"/>
    <w:rsid w:val="006D5D86"/>
    <w:rsid w:val="006E245D"/>
    <w:rsid w:val="006E4B6A"/>
    <w:rsid w:val="00705540"/>
    <w:rsid w:val="00710419"/>
    <w:rsid w:val="00713DBE"/>
    <w:rsid w:val="00722DEC"/>
    <w:rsid w:val="0072572D"/>
    <w:rsid w:val="00726ABB"/>
    <w:rsid w:val="007313CA"/>
    <w:rsid w:val="007357EE"/>
    <w:rsid w:val="00736ABD"/>
    <w:rsid w:val="0074086E"/>
    <w:rsid w:val="007834F1"/>
    <w:rsid w:val="00790B8D"/>
    <w:rsid w:val="0079634E"/>
    <w:rsid w:val="007B7D6C"/>
    <w:rsid w:val="007D2402"/>
    <w:rsid w:val="007E47C0"/>
    <w:rsid w:val="007F038C"/>
    <w:rsid w:val="007F7ED1"/>
    <w:rsid w:val="0080348D"/>
    <w:rsid w:val="00821293"/>
    <w:rsid w:val="00824F10"/>
    <w:rsid w:val="00830DA6"/>
    <w:rsid w:val="00832B84"/>
    <w:rsid w:val="00835AC3"/>
    <w:rsid w:val="008477A9"/>
    <w:rsid w:val="00850910"/>
    <w:rsid w:val="0085238F"/>
    <w:rsid w:val="008534AB"/>
    <w:rsid w:val="00853EA4"/>
    <w:rsid w:val="008618D9"/>
    <w:rsid w:val="00863996"/>
    <w:rsid w:val="00870A9A"/>
    <w:rsid w:val="0087325F"/>
    <w:rsid w:val="0087628D"/>
    <w:rsid w:val="0088138F"/>
    <w:rsid w:val="00885425"/>
    <w:rsid w:val="008979FD"/>
    <w:rsid w:val="00897D12"/>
    <w:rsid w:val="008A229D"/>
    <w:rsid w:val="008A4F2E"/>
    <w:rsid w:val="008A5CAB"/>
    <w:rsid w:val="008B45BB"/>
    <w:rsid w:val="008C0627"/>
    <w:rsid w:val="008D3D11"/>
    <w:rsid w:val="008F0343"/>
    <w:rsid w:val="008F511B"/>
    <w:rsid w:val="00904A73"/>
    <w:rsid w:val="009110E4"/>
    <w:rsid w:val="009153D6"/>
    <w:rsid w:val="00922EEC"/>
    <w:rsid w:val="00925685"/>
    <w:rsid w:val="009266DB"/>
    <w:rsid w:val="00931F64"/>
    <w:rsid w:val="00937A8D"/>
    <w:rsid w:val="00944DBA"/>
    <w:rsid w:val="00950E14"/>
    <w:rsid w:val="009518D4"/>
    <w:rsid w:val="00954805"/>
    <w:rsid w:val="0095683E"/>
    <w:rsid w:val="009641A1"/>
    <w:rsid w:val="00976089"/>
    <w:rsid w:val="009907E5"/>
    <w:rsid w:val="009A23DB"/>
    <w:rsid w:val="009A47D5"/>
    <w:rsid w:val="009A7372"/>
    <w:rsid w:val="009B036E"/>
    <w:rsid w:val="009B2FA8"/>
    <w:rsid w:val="009B35CC"/>
    <w:rsid w:val="009C3291"/>
    <w:rsid w:val="009D1C3C"/>
    <w:rsid w:val="009E4E10"/>
    <w:rsid w:val="009E574C"/>
    <w:rsid w:val="009E7656"/>
    <w:rsid w:val="00A14FB4"/>
    <w:rsid w:val="00A1589A"/>
    <w:rsid w:val="00A16E84"/>
    <w:rsid w:val="00A2135B"/>
    <w:rsid w:val="00A2320D"/>
    <w:rsid w:val="00A242B8"/>
    <w:rsid w:val="00A308A3"/>
    <w:rsid w:val="00A34695"/>
    <w:rsid w:val="00A36399"/>
    <w:rsid w:val="00A41784"/>
    <w:rsid w:val="00A4205D"/>
    <w:rsid w:val="00A46C40"/>
    <w:rsid w:val="00A51D51"/>
    <w:rsid w:val="00A52474"/>
    <w:rsid w:val="00A5411E"/>
    <w:rsid w:val="00A54ED6"/>
    <w:rsid w:val="00A5558C"/>
    <w:rsid w:val="00A56425"/>
    <w:rsid w:val="00A6768C"/>
    <w:rsid w:val="00A7419C"/>
    <w:rsid w:val="00A75C64"/>
    <w:rsid w:val="00A87180"/>
    <w:rsid w:val="00A9768A"/>
    <w:rsid w:val="00AA2C2E"/>
    <w:rsid w:val="00AA2EDA"/>
    <w:rsid w:val="00AA3618"/>
    <w:rsid w:val="00AA521C"/>
    <w:rsid w:val="00AA769A"/>
    <w:rsid w:val="00AB41B1"/>
    <w:rsid w:val="00AC31B3"/>
    <w:rsid w:val="00AD5A86"/>
    <w:rsid w:val="00AE77A7"/>
    <w:rsid w:val="00AF3E98"/>
    <w:rsid w:val="00AF5EBA"/>
    <w:rsid w:val="00AF605E"/>
    <w:rsid w:val="00B00216"/>
    <w:rsid w:val="00B05706"/>
    <w:rsid w:val="00B05F87"/>
    <w:rsid w:val="00B1048F"/>
    <w:rsid w:val="00B13D3E"/>
    <w:rsid w:val="00B148EC"/>
    <w:rsid w:val="00B532EA"/>
    <w:rsid w:val="00B70FF4"/>
    <w:rsid w:val="00B76150"/>
    <w:rsid w:val="00B800ED"/>
    <w:rsid w:val="00B82C5C"/>
    <w:rsid w:val="00B83F9E"/>
    <w:rsid w:val="00B975CC"/>
    <w:rsid w:val="00BA2A18"/>
    <w:rsid w:val="00BA2CAD"/>
    <w:rsid w:val="00BA3274"/>
    <w:rsid w:val="00BB0630"/>
    <w:rsid w:val="00BB2CB8"/>
    <w:rsid w:val="00BB376C"/>
    <w:rsid w:val="00BB5CA7"/>
    <w:rsid w:val="00BC2953"/>
    <w:rsid w:val="00BC2EDF"/>
    <w:rsid w:val="00BC51CD"/>
    <w:rsid w:val="00BC7488"/>
    <w:rsid w:val="00BC74E8"/>
    <w:rsid w:val="00BD312D"/>
    <w:rsid w:val="00BD3886"/>
    <w:rsid w:val="00BF15D9"/>
    <w:rsid w:val="00BF51EA"/>
    <w:rsid w:val="00C14F91"/>
    <w:rsid w:val="00C227AD"/>
    <w:rsid w:val="00C32FD2"/>
    <w:rsid w:val="00C37EA4"/>
    <w:rsid w:val="00C50FC5"/>
    <w:rsid w:val="00C52349"/>
    <w:rsid w:val="00C557DB"/>
    <w:rsid w:val="00C661FE"/>
    <w:rsid w:val="00C7088E"/>
    <w:rsid w:val="00C73CE5"/>
    <w:rsid w:val="00C861EE"/>
    <w:rsid w:val="00C86258"/>
    <w:rsid w:val="00C93A3B"/>
    <w:rsid w:val="00CA5AA8"/>
    <w:rsid w:val="00CC1378"/>
    <w:rsid w:val="00CC3DB8"/>
    <w:rsid w:val="00CC6428"/>
    <w:rsid w:val="00CD242B"/>
    <w:rsid w:val="00CD4CB0"/>
    <w:rsid w:val="00CE2584"/>
    <w:rsid w:val="00CE5C8F"/>
    <w:rsid w:val="00D14A9C"/>
    <w:rsid w:val="00D250C0"/>
    <w:rsid w:val="00D27E34"/>
    <w:rsid w:val="00D41069"/>
    <w:rsid w:val="00D42DE1"/>
    <w:rsid w:val="00D440AF"/>
    <w:rsid w:val="00D479E8"/>
    <w:rsid w:val="00D5088A"/>
    <w:rsid w:val="00D532D6"/>
    <w:rsid w:val="00D552D7"/>
    <w:rsid w:val="00D75FB3"/>
    <w:rsid w:val="00D84B9F"/>
    <w:rsid w:val="00DA5E1D"/>
    <w:rsid w:val="00DB287C"/>
    <w:rsid w:val="00DB3FAF"/>
    <w:rsid w:val="00DC07C3"/>
    <w:rsid w:val="00DE3423"/>
    <w:rsid w:val="00DF05A2"/>
    <w:rsid w:val="00E03063"/>
    <w:rsid w:val="00E07666"/>
    <w:rsid w:val="00E13919"/>
    <w:rsid w:val="00E25955"/>
    <w:rsid w:val="00E25D19"/>
    <w:rsid w:val="00E334E2"/>
    <w:rsid w:val="00E35717"/>
    <w:rsid w:val="00E35FDF"/>
    <w:rsid w:val="00E44855"/>
    <w:rsid w:val="00E46445"/>
    <w:rsid w:val="00E527B3"/>
    <w:rsid w:val="00E65822"/>
    <w:rsid w:val="00E72138"/>
    <w:rsid w:val="00E72289"/>
    <w:rsid w:val="00E75BA7"/>
    <w:rsid w:val="00E75D8C"/>
    <w:rsid w:val="00E94BB2"/>
    <w:rsid w:val="00E94E45"/>
    <w:rsid w:val="00EA3C43"/>
    <w:rsid w:val="00EA4A38"/>
    <w:rsid w:val="00EA55AC"/>
    <w:rsid w:val="00EA7882"/>
    <w:rsid w:val="00EB79B8"/>
    <w:rsid w:val="00EC2DFA"/>
    <w:rsid w:val="00EC4578"/>
    <w:rsid w:val="00ED47A1"/>
    <w:rsid w:val="00EE3052"/>
    <w:rsid w:val="00EE6146"/>
    <w:rsid w:val="00EF5B85"/>
    <w:rsid w:val="00F035F2"/>
    <w:rsid w:val="00F17389"/>
    <w:rsid w:val="00F24109"/>
    <w:rsid w:val="00F25224"/>
    <w:rsid w:val="00F301E3"/>
    <w:rsid w:val="00F34A81"/>
    <w:rsid w:val="00F42269"/>
    <w:rsid w:val="00F42574"/>
    <w:rsid w:val="00F437A1"/>
    <w:rsid w:val="00F43ACF"/>
    <w:rsid w:val="00F56FFC"/>
    <w:rsid w:val="00F574ED"/>
    <w:rsid w:val="00F57A49"/>
    <w:rsid w:val="00F6589B"/>
    <w:rsid w:val="00F71757"/>
    <w:rsid w:val="00F751AB"/>
    <w:rsid w:val="00F92A9B"/>
    <w:rsid w:val="00FA7CF7"/>
    <w:rsid w:val="00FB0D0F"/>
    <w:rsid w:val="00FB3DD3"/>
    <w:rsid w:val="00FC0D34"/>
    <w:rsid w:val="00FC6EF0"/>
    <w:rsid w:val="00FD26E6"/>
    <w:rsid w:val="00FD7914"/>
    <w:rsid w:val="00FE5B3A"/>
    <w:rsid w:val="00FF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BEDFD-8E02-44DE-A761-BD6433C9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B0"/>
  </w:style>
  <w:style w:type="paragraph" w:styleId="2">
    <w:name w:val="heading 2"/>
    <w:basedOn w:val="a"/>
    <w:next w:val="a"/>
    <w:link w:val="20"/>
    <w:qFormat/>
    <w:rsid w:val="00570BA3"/>
    <w:pPr>
      <w:keepNext/>
      <w:tabs>
        <w:tab w:val="num" w:pos="720"/>
      </w:tabs>
      <w:spacing w:after="0" w:line="240" w:lineRule="auto"/>
      <w:ind w:left="720" w:hanging="720"/>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C3FB7"/>
    <w:pPr>
      <w:spacing w:before="100" w:after="100" w:line="240" w:lineRule="auto"/>
    </w:pPr>
    <w:rPr>
      <w:rFonts w:ascii="Calibri" w:eastAsia="Times New Roman" w:hAnsi="Calibri" w:cs="Calibri"/>
      <w:sz w:val="24"/>
      <w:szCs w:val="24"/>
    </w:rPr>
  </w:style>
  <w:style w:type="paragraph" w:styleId="a3">
    <w:name w:val="header"/>
    <w:basedOn w:val="a"/>
    <w:link w:val="a4"/>
    <w:uiPriority w:val="99"/>
    <w:rsid w:val="005C3FB7"/>
    <w:pPr>
      <w:tabs>
        <w:tab w:val="center" w:pos="4677"/>
        <w:tab w:val="right" w:pos="9355"/>
      </w:tabs>
      <w:spacing w:after="0" w:line="240" w:lineRule="auto"/>
    </w:pPr>
    <w:rPr>
      <w:rFonts w:ascii="Calibri" w:eastAsia="Times New Roman" w:hAnsi="Calibri" w:cs="Calibri"/>
      <w:b/>
      <w:bCs/>
      <w:color w:val="000000"/>
      <w:sz w:val="20"/>
      <w:szCs w:val="20"/>
    </w:rPr>
  </w:style>
  <w:style w:type="character" w:customStyle="1" w:styleId="a4">
    <w:name w:val="Верхний колонтитул Знак"/>
    <w:basedOn w:val="a0"/>
    <w:link w:val="a3"/>
    <w:uiPriority w:val="99"/>
    <w:rsid w:val="005C3FB7"/>
    <w:rPr>
      <w:rFonts w:ascii="Calibri" w:eastAsia="Times New Roman" w:hAnsi="Calibri" w:cs="Calibri"/>
      <w:b/>
      <w:bCs/>
      <w:color w:val="000000"/>
      <w:sz w:val="20"/>
      <w:szCs w:val="20"/>
    </w:rPr>
  </w:style>
  <w:style w:type="paragraph" w:styleId="a5">
    <w:name w:val="Body Text Indent"/>
    <w:basedOn w:val="a"/>
    <w:link w:val="a6"/>
    <w:uiPriority w:val="99"/>
    <w:semiHidden/>
    <w:rsid w:val="005C3FB7"/>
    <w:pPr>
      <w:spacing w:after="120" w:line="240" w:lineRule="auto"/>
      <w:ind w:left="283"/>
    </w:pPr>
    <w:rPr>
      <w:rFonts w:ascii="Calibri" w:eastAsia="Times New Roman" w:hAnsi="Calibri" w:cs="Calibri"/>
      <w:b/>
      <w:bCs/>
      <w:color w:val="000000"/>
      <w:sz w:val="20"/>
      <w:szCs w:val="20"/>
    </w:rPr>
  </w:style>
  <w:style w:type="character" w:customStyle="1" w:styleId="a6">
    <w:name w:val="Основной текст с отступом Знак"/>
    <w:basedOn w:val="a0"/>
    <w:link w:val="a5"/>
    <w:uiPriority w:val="99"/>
    <w:semiHidden/>
    <w:rsid w:val="005C3FB7"/>
    <w:rPr>
      <w:rFonts w:ascii="Calibri" w:eastAsia="Times New Roman" w:hAnsi="Calibri" w:cs="Calibri"/>
      <w:b/>
      <w:bCs/>
      <w:color w:val="000000"/>
      <w:sz w:val="20"/>
      <w:szCs w:val="20"/>
    </w:rPr>
  </w:style>
  <w:style w:type="paragraph" w:styleId="a7">
    <w:name w:val="Normal (Web)"/>
    <w:basedOn w:val="a"/>
    <w:uiPriority w:val="99"/>
    <w:rsid w:val="005C3FB7"/>
    <w:pPr>
      <w:spacing w:before="100" w:beforeAutospacing="1" w:after="100" w:afterAutospacing="1" w:line="240" w:lineRule="auto"/>
    </w:pPr>
    <w:rPr>
      <w:rFonts w:ascii="Lucida Console" w:eastAsia="Times New Roman" w:hAnsi="Lucida Console" w:cs="Lucida Console"/>
      <w:color w:val="000000"/>
      <w:sz w:val="21"/>
      <w:szCs w:val="21"/>
    </w:rPr>
  </w:style>
  <w:style w:type="paragraph" w:styleId="a8">
    <w:name w:val="Balloon Text"/>
    <w:basedOn w:val="a"/>
    <w:link w:val="a9"/>
    <w:uiPriority w:val="99"/>
    <w:semiHidden/>
    <w:unhideWhenUsed/>
    <w:rsid w:val="005C3F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3FB7"/>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570BA3"/>
    <w:pPr>
      <w:spacing w:after="0" w:line="240" w:lineRule="auto"/>
    </w:pPr>
    <w:rPr>
      <w:rFonts w:ascii="Verdana" w:eastAsia="Times New Roman" w:hAnsi="Verdana" w:cs="Verdana"/>
      <w:sz w:val="20"/>
      <w:szCs w:val="20"/>
      <w:lang w:val="en-US" w:eastAsia="en-US"/>
    </w:rPr>
  </w:style>
  <w:style w:type="character" w:customStyle="1" w:styleId="20">
    <w:name w:val="Заголовок 2 Знак"/>
    <w:basedOn w:val="a0"/>
    <w:link w:val="2"/>
    <w:rsid w:val="00570BA3"/>
    <w:rPr>
      <w:rFonts w:ascii="Times New Roman" w:eastAsia="Times New Roman" w:hAnsi="Times New Roman" w:cs="Times New Roman"/>
      <w:b/>
      <w:sz w:val="24"/>
      <w:szCs w:val="20"/>
    </w:rPr>
  </w:style>
  <w:style w:type="paragraph" w:styleId="3">
    <w:name w:val="Body Text Indent 3"/>
    <w:basedOn w:val="a"/>
    <w:link w:val="30"/>
    <w:uiPriority w:val="99"/>
    <w:semiHidden/>
    <w:unhideWhenUsed/>
    <w:rsid w:val="00A6768C"/>
    <w:pPr>
      <w:spacing w:after="120"/>
      <w:ind w:left="283"/>
    </w:pPr>
    <w:rPr>
      <w:sz w:val="16"/>
      <w:szCs w:val="16"/>
    </w:rPr>
  </w:style>
  <w:style w:type="character" w:customStyle="1" w:styleId="30">
    <w:name w:val="Основной текст с отступом 3 Знак"/>
    <w:basedOn w:val="a0"/>
    <w:link w:val="3"/>
    <w:uiPriority w:val="99"/>
    <w:semiHidden/>
    <w:rsid w:val="00A6768C"/>
    <w:rPr>
      <w:sz w:val="16"/>
      <w:szCs w:val="16"/>
    </w:rPr>
  </w:style>
  <w:style w:type="paragraph" w:customStyle="1" w:styleId="21">
    <w:name w:val="заголовок 2"/>
    <w:basedOn w:val="a"/>
    <w:next w:val="a"/>
    <w:rsid w:val="00A6768C"/>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MZagolovokCenter">
    <w:name w:val="MZagolovokCenter"/>
    <w:basedOn w:val="a"/>
    <w:rsid w:val="00A6768C"/>
    <w:pPr>
      <w:keepNext/>
      <w:keepLines/>
      <w:spacing w:before="120" w:after="120" w:line="240" w:lineRule="auto"/>
      <w:jc w:val="center"/>
    </w:pPr>
    <w:rPr>
      <w:rFonts w:ascii="Arial" w:eastAsia="Times New Roman" w:hAnsi="Arial" w:cs="Times New Roman"/>
      <w:b/>
      <w:sz w:val="24"/>
      <w:szCs w:val="20"/>
      <w:lang w:val="en-US"/>
    </w:rPr>
  </w:style>
  <w:style w:type="character" w:styleId="aa">
    <w:name w:val="Hyperlink"/>
    <w:basedOn w:val="a0"/>
    <w:rsid w:val="00A36399"/>
    <w:rPr>
      <w:color w:val="0000FF"/>
      <w:u w:val="single"/>
    </w:rPr>
  </w:style>
  <w:style w:type="paragraph" w:customStyle="1" w:styleId="ConsPlusNonformat">
    <w:name w:val="ConsPlusNonformat"/>
    <w:rsid w:val="00E527B3"/>
    <w:pPr>
      <w:spacing w:after="0" w:line="240" w:lineRule="auto"/>
    </w:pPr>
    <w:rPr>
      <w:rFonts w:ascii="Courier New" w:eastAsia="Times New Roman" w:hAnsi="Courier New" w:cs="Times New Roman"/>
      <w:sz w:val="20"/>
      <w:szCs w:val="20"/>
    </w:rPr>
  </w:style>
  <w:style w:type="paragraph" w:styleId="ab">
    <w:name w:val="Plain Text"/>
    <w:aliases w:val=" Знак,Текст Знак1 Знак,Текст Знак Знак Знак, Знак Знак Знак Знак,Знак,Знак Знак Знак Знак,Текст Знак1 Знак Знак Знак Знак,Текст Знак Знак Знак1 Знак Знак Знак, Знак Знак Знак Знак1 Знак Знак Знак,Знак Знак Знак Знак1 Знак Знак Знак,Текст Знак2"/>
    <w:basedOn w:val="a"/>
    <w:link w:val="ac"/>
    <w:rsid w:val="003C4E1B"/>
    <w:pPr>
      <w:spacing w:after="0" w:line="240" w:lineRule="auto"/>
    </w:pPr>
    <w:rPr>
      <w:rFonts w:ascii="Courier New" w:eastAsia="Times New Roman" w:hAnsi="Courier New" w:cs="Courier New"/>
      <w:sz w:val="20"/>
      <w:szCs w:val="20"/>
    </w:rPr>
  </w:style>
  <w:style w:type="character" w:customStyle="1" w:styleId="ac">
    <w:name w:val="Текст Знак"/>
    <w:aliases w:val=" Знак Знак,Текст Знак1 Знак Знак,Текст Знак Знак Знак Знак, Знак Знак Знак Знак Знак,Знак Знак,Знак Знак Знак Знак Знак,Текст Знак1 Знак Знак Знак Знак Знак,Текст Знак Знак Знак1 Знак Знак Знак Знак, Знак Знак Знак Знак1 Знак Знак Знак Знак"/>
    <w:basedOn w:val="a0"/>
    <w:link w:val="ab"/>
    <w:rsid w:val="003C4E1B"/>
    <w:rPr>
      <w:rFonts w:ascii="Courier New" w:eastAsia="Times New Roman" w:hAnsi="Courier New" w:cs="Courier New"/>
      <w:sz w:val="20"/>
      <w:szCs w:val="20"/>
    </w:rPr>
  </w:style>
  <w:style w:type="paragraph" w:customStyle="1" w:styleId="22">
    <w:name w:val="Знак2 Знак Знак Знак"/>
    <w:basedOn w:val="a"/>
    <w:rsid w:val="00E75BA7"/>
    <w:pPr>
      <w:spacing w:after="0" w:line="240" w:lineRule="auto"/>
    </w:pPr>
    <w:rPr>
      <w:rFonts w:ascii="Verdana" w:eastAsia="Times New Roman" w:hAnsi="Verdana" w:cs="Verdana"/>
      <w:sz w:val="20"/>
      <w:szCs w:val="20"/>
      <w:lang w:val="en-US" w:eastAsia="en-US"/>
    </w:rPr>
  </w:style>
  <w:style w:type="paragraph" w:customStyle="1" w:styleId="MainText">
    <w:name w:val="MainText"/>
    <w:rsid w:val="00E75BA7"/>
    <w:pPr>
      <w:overflowPunct w:val="0"/>
      <w:autoSpaceDE w:val="0"/>
      <w:autoSpaceDN w:val="0"/>
      <w:adjustRightInd w:val="0"/>
      <w:spacing w:after="0" w:line="240" w:lineRule="auto"/>
      <w:ind w:firstLine="567"/>
      <w:jc w:val="both"/>
    </w:pPr>
    <w:rPr>
      <w:rFonts w:ascii="PragmaticaC" w:eastAsia="Times New Roman" w:hAnsi="PragmaticaC" w:cs="PragmaticaC"/>
      <w:color w:val="000000"/>
      <w:sz w:val="19"/>
      <w:szCs w:val="19"/>
      <w:lang w:val="en-US"/>
    </w:rPr>
  </w:style>
  <w:style w:type="paragraph" w:styleId="ad">
    <w:name w:val="List Paragraph"/>
    <w:basedOn w:val="a"/>
    <w:uiPriority w:val="34"/>
    <w:qFormat/>
    <w:rsid w:val="00FF3FEF"/>
    <w:pPr>
      <w:ind w:left="720"/>
      <w:contextualSpacing/>
    </w:pPr>
  </w:style>
  <w:style w:type="paragraph" w:customStyle="1" w:styleId="formattext">
    <w:name w:val="formattext"/>
    <w:basedOn w:val="a"/>
    <w:rsid w:val="006E245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semiHidden/>
    <w:unhideWhenUsed/>
    <w:rsid w:val="0028350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83507"/>
  </w:style>
  <w:style w:type="table" w:styleId="af0">
    <w:name w:val="Table Grid"/>
    <w:basedOn w:val="a1"/>
    <w:uiPriority w:val="59"/>
    <w:rsid w:val="00B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462AB7"/>
    <w:rPr>
      <w:i/>
      <w:iCs/>
    </w:rPr>
  </w:style>
  <w:style w:type="paragraph" w:customStyle="1" w:styleId="Default">
    <w:name w:val="Default"/>
    <w:rsid w:val="00E722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Placeholder Text"/>
    <w:basedOn w:val="a0"/>
    <w:uiPriority w:val="99"/>
    <w:semiHidden/>
    <w:rsid w:val="00173E56"/>
    <w:rPr>
      <w:color w:val="808080"/>
    </w:rPr>
  </w:style>
  <w:style w:type="character" w:styleId="af3">
    <w:name w:val="Strong"/>
    <w:basedOn w:val="a0"/>
    <w:uiPriority w:val="22"/>
    <w:qFormat/>
    <w:rsid w:val="00603BD9"/>
    <w:rPr>
      <w:b/>
      <w:bCs/>
    </w:rPr>
  </w:style>
  <w:style w:type="paragraph" w:customStyle="1" w:styleId="formattexttopleveltext">
    <w:name w:val="formattext topleveltext"/>
    <w:basedOn w:val="a"/>
    <w:rsid w:val="00D84B9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62CC4"/>
    <w:pPr>
      <w:spacing w:after="120"/>
    </w:pPr>
    <w:rPr>
      <w:sz w:val="16"/>
      <w:szCs w:val="16"/>
    </w:rPr>
  </w:style>
  <w:style w:type="character" w:customStyle="1" w:styleId="32">
    <w:name w:val="Основной текст 3 Знак"/>
    <w:basedOn w:val="a0"/>
    <w:link w:val="31"/>
    <w:uiPriority w:val="99"/>
    <w:semiHidden/>
    <w:rsid w:val="00062CC4"/>
    <w:rPr>
      <w:sz w:val="16"/>
      <w:szCs w:val="16"/>
    </w:rPr>
  </w:style>
  <w:style w:type="character" w:styleId="af4">
    <w:name w:val="FollowedHyperlink"/>
    <w:basedOn w:val="a0"/>
    <w:uiPriority w:val="99"/>
    <w:semiHidden/>
    <w:unhideWhenUsed/>
    <w:rsid w:val="00B14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487">
      <w:bodyDiv w:val="1"/>
      <w:marLeft w:val="0"/>
      <w:marRight w:val="0"/>
      <w:marTop w:val="0"/>
      <w:marBottom w:val="0"/>
      <w:divBdr>
        <w:top w:val="none" w:sz="0" w:space="0" w:color="auto"/>
        <w:left w:val="none" w:sz="0" w:space="0" w:color="auto"/>
        <w:bottom w:val="none" w:sz="0" w:space="0" w:color="auto"/>
        <w:right w:val="none" w:sz="0" w:space="0" w:color="auto"/>
      </w:divBdr>
    </w:div>
    <w:div w:id="99684333">
      <w:bodyDiv w:val="1"/>
      <w:marLeft w:val="0"/>
      <w:marRight w:val="0"/>
      <w:marTop w:val="0"/>
      <w:marBottom w:val="0"/>
      <w:divBdr>
        <w:top w:val="none" w:sz="0" w:space="0" w:color="auto"/>
        <w:left w:val="none" w:sz="0" w:space="0" w:color="auto"/>
        <w:bottom w:val="none" w:sz="0" w:space="0" w:color="auto"/>
        <w:right w:val="none" w:sz="0" w:space="0" w:color="auto"/>
      </w:divBdr>
    </w:div>
    <w:div w:id="179977020">
      <w:bodyDiv w:val="1"/>
      <w:marLeft w:val="0"/>
      <w:marRight w:val="0"/>
      <w:marTop w:val="0"/>
      <w:marBottom w:val="0"/>
      <w:divBdr>
        <w:top w:val="none" w:sz="0" w:space="0" w:color="auto"/>
        <w:left w:val="none" w:sz="0" w:space="0" w:color="auto"/>
        <w:bottom w:val="none" w:sz="0" w:space="0" w:color="auto"/>
        <w:right w:val="none" w:sz="0" w:space="0" w:color="auto"/>
      </w:divBdr>
      <w:divsChild>
        <w:div w:id="355274232">
          <w:marLeft w:val="0"/>
          <w:marRight w:val="0"/>
          <w:marTop w:val="0"/>
          <w:marBottom w:val="0"/>
          <w:divBdr>
            <w:top w:val="none" w:sz="0" w:space="0" w:color="auto"/>
            <w:left w:val="none" w:sz="0" w:space="0" w:color="auto"/>
            <w:bottom w:val="none" w:sz="0" w:space="0" w:color="auto"/>
            <w:right w:val="none" w:sz="0" w:space="0" w:color="auto"/>
          </w:divBdr>
        </w:div>
        <w:div w:id="29305151">
          <w:marLeft w:val="0"/>
          <w:marRight w:val="0"/>
          <w:marTop w:val="0"/>
          <w:marBottom w:val="0"/>
          <w:divBdr>
            <w:top w:val="none" w:sz="0" w:space="0" w:color="auto"/>
            <w:left w:val="none" w:sz="0" w:space="0" w:color="auto"/>
            <w:bottom w:val="none" w:sz="0" w:space="0" w:color="auto"/>
            <w:right w:val="none" w:sz="0" w:space="0" w:color="auto"/>
          </w:divBdr>
        </w:div>
        <w:div w:id="2099979678">
          <w:marLeft w:val="0"/>
          <w:marRight w:val="0"/>
          <w:marTop w:val="0"/>
          <w:marBottom w:val="0"/>
          <w:divBdr>
            <w:top w:val="none" w:sz="0" w:space="0" w:color="auto"/>
            <w:left w:val="none" w:sz="0" w:space="0" w:color="auto"/>
            <w:bottom w:val="none" w:sz="0" w:space="0" w:color="auto"/>
            <w:right w:val="none" w:sz="0" w:space="0" w:color="auto"/>
          </w:divBdr>
        </w:div>
        <w:div w:id="1014843451">
          <w:marLeft w:val="0"/>
          <w:marRight w:val="0"/>
          <w:marTop w:val="0"/>
          <w:marBottom w:val="0"/>
          <w:divBdr>
            <w:top w:val="none" w:sz="0" w:space="0" w:color="auto"/>
            <w:left w:val="none" w:sz="0" w:space="0" w:color="auto"/>
            <w:bottom w:val="none" w:sz="0" w:space="0" w:color="auto"/>
            <w:right w:val="none" w:sz="0" w:space="0" w:color="auto"/>
          </w:divBdr>
        </w:div>
      </w:divsChild>
    </w:div>
    <w:div w:id="180626695">
      <w:bodyDiv w:val="1"/>
      <w:marLeft w:val="0"/>
      <w:marRight w:val="0"/>
      <w:marTop w:val="0"/>
      <w:marBottom w:val="0"/>
      <w:divBdr>
        <w:top w:val="none" w:sz="0" w:space="0" w:color="auto"/>
        <w:left w:val="none" w:sz="0" w:space="0" w:color="auto"/>
        <w:bottom w:val="none" w:sz="0" w:space="0" w:color="auto"/>
        <w:right w:val="none" w:sz="0" w:space="0" w:color="auto"/>
      </w:divBdr>
    </w:div>
    <w:div w:id="506595414">
      <w:bodyDiv w:val="1"/>
      <w:marLeft w:val="0"/>
      <w:marRight w:val="0"/>
      <w:marTop w:val="0"/>
      <w:marBottom w:val="0"/>
      <w:divBdr>
        <w:top w:val="none" w:sz="0" w:space="0" w:color="auto"/>
        <w:left w:val="none" w:sz="0" w:space="0" w:color="auto"/>
        <w:bottom w:val="none" w:sz="0" w:space="0" w:color="auto"/>
        <w:right w:val="none" w:sz="0" w:space="0" w:color="auto"/>
      </w:divBdr>
    </w:div>
    <w:div w:id="590042137">
      <w:bodyDiv w:val="1"/>
      <w:marLeft w:val="0"/>
      <w:marRight w:val="0"/>
      <w:marTop w:val="0"/>
      <w:marBottom w:val="0"/>
      <w:divBdr>
        <w:top w:val="none" w:sz="0" w:space="0" w:color="auto"/>
        <w:left w:val="none" w:sz="0" w:space="0" w:color="auto"/>
        <w:bottom w:val="none" w:sz="0" w:space="0" w:color="auto"/>
        <w:right w:val="none" w:sz="0" w:space="0" w:color="auto"/>
      </w:divBdr>
    </w:div>
    <w:div w:id="786387423">
      <w:bodyDiv w:val="1"/>
      <w:marLeft w:val="0"/>
      <w:marRight w:val="0"/>
      <w:marTop w:val="0"/>
      <w:marBottom w:val="0"/>
      <w:divBdr>
        <w:top w:val="none" w:sz="0" w:space="0" w:color="auto"/>
        <w:left w:val="none" w:sz="0" w:space="0" w:color="auto"/>
        <w:bottom w:val="none" w:sz="0" w:space="0" w:color="auto"/>
        <w:right w:val="none" w:sz="0" w:space="0" w:color="auto"/>
      </w:divBdr>
      <w:divsChild>
        <w:div w:id="1442917369">
          <w:marLeft w:val="0"/>
          <w:marRight w:val="0"/>
          <w:marTop w:val="0"/>
          <w:marBottom w:val="0"/>
          <w:divBdr>
            <w:top w:val="none" w:sz="0" w:space="0" w:color="auto"/>
            <w:left w:val="none" w:sz="0" w:space="0" w:color="auto"/>
            <w:bottom w:val="none" w:sz="0" w:space="0" w:color="auto"/>
            <w:right w:val="none" w:sz="0" w:space="0" w:color="auto"/>
          </w:divBdr>
        </w:div>
        <w:div w:id="153187190">
          <w:marLeft w:val="0"/>
          <w:marRight w:val="0"/>
          <w:marTop w:val="0"/>
          <w:marBottom w:val="0"/>
          <w:divBdr>
            <w:top w:val="none" w:sz="0" w:space="0" w:color="auto"/>
            <w:left w:val="none" w:sz="0" w:space="0" w:color="auto"/>
            <w:bottom w:val="none" w:sz="0" w:space="0" w:color="auto"/>
            <w:right w:val="none" w:sz="0" w:space="0" w:color="auto"/>
          </w:divBdr>
        </w:div>
        <w:div w:id="371006783">
          <w:marLeft w:val="0"/>
          <w:marRight w:val="0"/>
          <w:marTop w:val="0"/>
          <w:marBottom w:val="0"/>
          <w:divBdr>
            <w:top w:val="none" w:sz="0" w:space="0" w:color="auto"/>
            <w:left w:val="none" w:sz="0" w:space="0" w:color="auto"/>
            <w:bottom w:val="none" w:sz="0" w:space="0" w:color="auto"/>
            <w:right w:val="none" w:sz="0" w:space="0" w:color="auto"/>
          </w:divBdr>
        </w:div>
        <w:div w:id="77799081">
          <w:marLeft w:val="0"/>
          <w:marRight w:val="0"/>
          <w:marTop w:val="0"/>
          <w:marBottom w:val="0"/>
          <w:divBdr>
            <w:top w:val="none" w:sz="0" w:space="0" w:color="auto"/>
            <w:left w:val="none" w:sz="0" w:space="0" w:color="auto"/>
            <w:bottom w:val="none" w:sz="0" w:space="0" w:color="auto"/>
            <w:right w:val="none" w:sz="0" w:space="0" w:color="auto"/>
          </w:divBdr>
        </w:div>
        <w:div w:id="946236291">
          <w:marLeft w:val="0"/>
          <w:marRight w:val="0"/>
          <w:marTop w:val="0"/>
          <w:marBottom w:val="0"/>
          <w:divBdr>
            <w:top w:val="none" w:sz="0" w:space="0" w:color="auto"/>
            <w:left w:val="none" w:sz="0" w:space="0" w:color="auto"/>
            <w:bottom w:val="none" w:sz="0" w:space="0" w:color="auto"/>
            <w:right w:val="none" w:sz="0" w:space="0" w:color="auto"/>
          </w:divBdr>
        </w:div>
      </w:divsChild>
    </w:div>
    <w:div w:id="1594242482">
      <w:bodyDiv w:val="1"/>
      <w:marLeft w:val="0"/>
      <w:marRight w:val="0"/>
      <w:marTop w:val="0"/>
      <w:marBottom w:val="0"/>
      <w:divBdr>
        <w:top w:val="none" w:sz="0" w:space="0" w:color="auto"/>
        <w:left w:val="none" w:sz="0" w:space="0" w:color="auto"/>
        <w:bottom w:val="none" w:sz="0" w:space="0" w:color="auto"/>
        <w:right w:val="none" w:sz="0" w:space="0" w:color="auto"/>
      </w:divBdr>
    </w:div>
    <w:div w:id="1771389904">
      <w:bodyDiv w:val="1"/>
      <w:marLeft w:val="0"/>
      <w:marRight w:val="0"/>
      <w:marTop w:val="0"/>
      <w:marBottom w:val="0"/>
      <w:divBdr>
        <w:top w:val="none" w:sz="0" w:space="0" w:color="auto"/>
        <w:left w:val="none" w:sz="0" w:space="0" w:color="auto"/>
        <w:bottom w:val="none" w:sz="0" w:space="0" w:color="auto"/>
        <w:right w:val="none" w:sz="0" w:space="0" w:color="auto"/>
      </w:divBdr>
    </w:div>
    <w:div w:id="1855605881">
      <w:bodyDiv w:val="1"/>
      <w:marLeft w:val="0"/>
      <w:marRight w:val="0"/>
      <w:marTop w:val="0"/>
      <w:marBottom w:val="0"/>
      <w:divBdr>
        <w:top w:val="none" w:sz="0" w:space="0" w:color="auto"/>
        <w:left w:val="none" w:sz="0" w:space="0" w:color="auto"/>
        <w:bottom w:val="none" w:sz="0" w:space="0" w:color="auto"/>
        <w:right w:val="none" w:sz="0" w:space="0" w:color="auto"/>
      </w:divBdr>
    </w:div>
    <w:div w:id="2050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42;&#1085;&#1091;&#1090;&#1088;&#1077;&#1085;&#1085;&#1080;&#1077;%20&#1076;&#1086;&#1082;&#1091;&#1084;&#1077;&#1085;&#1090;&#1099;\&#1053;&#1041;%20&#1055;&#1056;&#1041;\&#1053;&#1040;%20&#1055;&#1056;&#1041;\&#1059;&#1082;&#1072;&#1079;&#1072;&#1085;&#1080;&#1103;\2019\N%201179-&#1059;%20&#1086;&#1090;%2022.08.2019.rtf" TargetMode="External"/><Relationship Id="rId5" Type="http://schemas.openxmlformats.org/officeDocument/2006/relationships/webSettings" Target="webSettings.xml"/><Relationship Id="rId10" Type="http://schemas.openxmlformats.org/officeDocument/2006/relationships/hyperlink" Target="file:///Z:\&#1042;&#1085;&#1091;&#1090;&#1088;&#1077;&#1085;&#1085;&#1080;&#1077;%20&#1076;&#1086;&#1082;&#1091;&#1084;&#1077;&#1085;&#1090;&#1099;\&#1053;&#1041;%20&#1055;&#1056;&#1041;\&#1053;&#1040;%20&#1055;&#1056;&#1041;\&#1059;&#1082;&#1072;&#1079;&#1072;&#1085;&#1080;&#1103;\2019\N%201155-&#1059;%20&#1086;&#1090;%2026.04.2019.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8E96A-C631-412C-9320-1BEECC4E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u048</dc:creator>
  <cp:lastModifiedBy>Кесслер К.Ф.</cp:lastModifiedBy>
  <cp:revision>11</cp:revision>
  <cp:lastPrinted>2018-10-24T14:45:00Z</cp:lastPrinted>
  <dcterms:created xsi:type="dcterms:W3CDTF">2019-09-13T14:39:00Z</dcterms:created>
  <dcterms:modified xsi:type="dcterms:W3CDTF">2020-07-21T09:04:00Z</dcterms:modified>
</cp:coreProperties>
</file>